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9EDDF" w14:textId="77777777" w:rsidR="0083430E" w:rsidRPr="00385905" w:rsidRDefault="0083430E" w:rsidP="00DE6BDA">
      <w:pPr>
        <w:rPr>
          <w:rFonts w:ascii="Arial" w:hAnsi="Arial" w:cs="Arial"/>
          <w:b/>
          <w:bCs/>
          <w:sz w:val="32"/>
          <w:szCs w:val="32"/>
        </w:rPr>
      </w:pPr>
    </w:p>
    <w:p w14:paraId="605B77C2" w14:textId="6E2BD715" w:rsidR="00385905" w:rsidRPr="00DE6BDA" w:rsidRDefault="00385905" w:rsidP="00385905">
      <w:pPr>
        <w:jc w:val="center"/>
        <w:rPr>
          <w:rFonts w:ascii="Arial" w:hAnsi="Arial" w:cs="Arial"/>
          <w:b/>
          <w:bCs/>
          <w:sz w:val="32"/>
          <w:szCs w:val="32"/>
          <w:u w:val="single"/>
        </w:rPr>
      </w:pPr>
      <w:r w:rsidRPr="00DE6BDA">
        <w:rPr>
          <w:rFonts w:ascii="Arial" w:hAnsi="Arial" w:cs="Arial"/>
          <w:b/>
          <w:bCs/>
          <w:sz w:val="32"/>
          <w:szCs w:val="32"/>
          <w:u w:val="single"/>
        </w:rPr>
        <w:t>Practice Privacy Notice</w:t>
      </w:r>
    </w:p>
    <w:p w14:paraId="22E7287B" w14:textId="1908C73C" w:rsidR="006D3631" w:rsidRDefault="006D3631" w:rsidP="00385905">
      <w:pPr>
        <w:jc w:val="center"/>
        <w:rPr>
          <w:rFonts w:ascii="Arial" w:hAnsi="Arial" w:cs="Arial"/>
          <w:b/>
          <w:bCs/>
          <w:sz w:val="32"/>
          <w:szCs w:val="32"/>
        </w:rPr>
      </w:pPr>
    </w:p>
    <w:p w14:paraId="7364B121" w14:textId="77777777" w:rsidR="001E549B" w:rsidRPr="0049371B" w:rsidRDefault="001E549B" w:rsidP="001E549B">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Data Protection Privacy Notice for Patients</w:t>
      </w:r>
    </w:p>
    <w:p w14:paraId="191FC8BD" w14:textId="77777777" w:rsidR="001E549B" w:rsidRDefault="001E549B" w:rsidP="001E549B">
      <w:pPr>
        <w:rPr>
          <w:rFonts w:ascii="Arial" w:hAnsi="Arial" w:cs="Arial"/>
          <w:b/>
          <w:bCs/>
          <w:sz w:val="32"/>
          <w:szCs w:val="32"/>
        </w:rPr>
      </w:pPr>
    </w:p>
    <w:p w14:paraId="7BDBF3D9" w14:textId="77777777" w:rsidR="00DE6BDA" w:rsidRDefault="00DE6BDA" w:rsidP="00DE6BDA">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t>3.3</w:t>
      </w:r>
    </w:p>
    <w:p w14:paraId="4026D613" w14:textId="77777777" w:rsidR="00DE6BDA" w:rsidRDefault="00DE6BDA" w:rsidP="00DE6BDA">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t>08/03/2024</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Default="003A3C73" w:rsidP="003A3C73">
      <w:pPr>
        <w:rPr>
          <w:rFonts w:ascii="Arial" w:hAnsi="Arial" w:cs="Arial"/>
          <w:sz w:val="20"/>
          <w:szCs w:val="20"/>
        </w:rPr>
      </w:pPr>
      <w:r w:rsidRPr="0049371B">
        <w:rPr>
          <w:rFonts w:ascii="Arial" w:hAnsi="Arial" w:cs="Arial"/>
          <w:sz w:val="20"/>
          <w:szCs w:val="20"/>
        </w:rPr>
        <w:t>This Notice explains</w:t>
      </w:r>
    </w:p>
    <w:p w14:paraId="7313796C" w14:textId="77777777" w:rsidR="00DE6BDA" w:rsidRPr="0049371B" w:rsidRDefault="00DE6BDA" w:rsidP="003A3C73">
      <w:pPr>
        <w:rPr>
          <w:rFonts w:ascii="Arial" w:hAnsi="Arial" w:cs="Arial"/>
          <w:sz w:val="20"/>
          <w:szCs w:val="20"/>
        </w:rPr>
      </w:pP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0A37A19F" w:rsidR="008B0056" w:rsidRPr="0049371B" w:rsidRDefault="008B0056" w:rsidP="008B0056">
      <w:pPr>
        <w:rPr>
          <w:rFonts w:ascii="Arial" w:hAnsi="Arial" w:cs="Arial"/>
          <w:sz w:val="20"/>
          <w:szCs w:val="20"/>
        </w:rPr>
      </w:pPr>
      <w:r w:rsidRPr="0049371B">
        <w:rPr>
          <w:rFonts w:ascii="Arial" w:hAnsi="Arial" w:cs="Arial"/>
          <w:sz w:val="20"/>
          <w:szCs w:val="20"/>
        </w:rPr>
        <w:t xml:space="preserve">For the purpose of applicable data protection legislation (including but not limited to the General Data Protection Regulation (Regulation (UK) 2016/679) (the "UKGDPR"), and the Data Protection Act 2018 the practice responsible for your personal data is </w:t>
      </w:r>
      <w:r w:rsidR="00DE6BDA">
        <w:rPr>
          <w:rFonts w:ascii="Arial" w:hAnsi="Arial" w:cs="Arial"/>
          <w:sz w:val="20"/>
          <w:szCs w:val="20"/>
        </w:rPr>
        <w:t>Cleobury Mortimer Medical Centre</w:t>
      </w:r>
      <w:r w:rsidRPr="0049371B">
        <w:rPr>
          <w:rFonts w:ascii="Arial" w:hAnsi="Arial" w:cs="Arial"/>
          <w:sz w:val="20"/>
          <w:szCs w:val="20"/>
        </w:rPr>
        <w:t>.</w:t>
      </w:r>
    </w:p>
    <w:p w14:paraId="5F304D6B" w14:textId="77777777" w:rsidR="008B0056"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B429F3D" w14:textId="77777777" w:rsidR="00DE6BDA" w:rsidRPr="0049371B" w:rsidRDefault="00DE6BDA" w:rsidP="008B0056">
      <w:pPr>
        <w:rPr>
          <w:rFonts w:ascii="Arial" w:hAnsi="Arial" w:cs="Arial"/>
          <w:sz w:val="20"/>
          <w:szCs w:val="20"/>
        </w:rPr>
      </w:pP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18BBF17A" w:rsidR="00E37206" w:rsidRPr="0049371B" w:rsidRDefault="00DE6BDA" w:rsidP="00E37206">
      <w:pPr>
        <w:widowControl w:val="0"/>
        <w:spacing w:after="280"/>
        <w:rPr>
          <w:rFonts w:ascii="Arial" w:hAnsi="Arial" w:cs="Arial"/>
          <w:sz w:val="20"/>
          <w:szCs w:val="20"/>
        </w:rPr>
      </w:pPr>
      <w:r>
        <w:rPr>
          <w:rFonts w:ascii="Arial" w:hAnsi="Arial" w:cs="Arial"/>
          <w:sz w:val="20"/>
          <w:szCs w:val="20"/>
        </w:rPr>
        <w:t>Cleobury Mortimer Medical Centre</w:t>
      </w:r>
      <w:r w:rsidRPr="0049371B">
        <w:rPr>
          <w:rFonts w:ascii="Arial" w:hAnsi="Arial" w:cs="Arial"/>
          <w:sz w:val="20"/>
          <w:szCs w:val="20"/>
        </w:rPr>
        <w:t xml:space="preserve"> </w:t>
      </w:r>
      <w:r w:rsidR="00E37206" w:rsidRPr="0049371B">
        <w:rPr>
          <w:rFonts w:ascii="Arial" w:hAnsi="Arial" w:cs="Arial"/>
          <w:sz w:val="20"/>
          <w:szCs w:val="20"/>
        </w:rPr>
        <w:t xml:space="preserve">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information;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5AF78B1F" w14:textId="77777777" w:rsidR="00DE6BDA" w:rsidRPr="0049371B" w:rsidRDefault="00DE6BDA" w:rsidP="00DE6BDA">
      <w:pPr>
        <w:pStyle w:val="ListParagraph"/>
        <w:widowControl w:val="0"/>
        <w:ind w:left="1080"/>
        <w:rPr>
          <w:rFonts w:ascii="Arial" w:hAnsi="Arial" w:cs="Arial"/>
          <w:sz w:val="20"/>
          <w:szCs w:val="20"/>
        </w:rPr>
      </w:pPr>
    </w:p>
    <w:p w14:paraId="085E13BB" w14:textId="42EF0FD2" w:rsidR="00E37206"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106543CD" w14:textId="77777777" w:rsidR="00DE6BDA" w:rsidRPr="0049371B" w:rsidRDefault="00DE6BDA" w:rsidP="00E37206">
      <w:pPr>
        <w:widowControl w:val="0"/>
        <w:rPr>
          <w:rFonts w:ascii="Arial" w:hAnsi="Arial" w:cs="Arial"/>
          <w:sz w:val="20"/>
          <w:szCs w:val="20"/>
        </w:rPr>
      </w:pP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Default="00A24734" w:rsidP="00A24734">
      <w:pPr>
        <w:rPr>
          <w:rFonts w:ascii="Arial" w:hAnsi="Arial" w:cs="Arial"/>
          <w:sz w:val="20"/>
          <w:szCs w:val="20"/>
        </w:rPr>
      </w:pPr>
      <w:r w:rsidRPr="0049371B">
        <w:rPr>
          <w:rFonts w:ascii="Arial" w:hAnsi="Arial" w:cs="Arial"/>
          <w:b/>
          <w:sz w:val="20"/>
          <w:szCs w:val="20"/>
        </w:rPr>
        <w:lastRenderedPageBreak/>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0BF9C8A2" w14:textId="77777777" w:rsidR="00DE6BDA" w:rsidRPr="0049371B" w:rsidRDefault="00DE6BDA" w:rsidP="00A24734">
      <w:pPr>
        <w:rPr>
          <w:rFonts w:ascii="Arial" w:hAnsi="Arial" w:cs="Arial"/>
          <w:sz w:val="20"/>
          <w:szCs w:val="20"/>
        </w:rPr>
      </w:pP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7BFA273A" w14:textId="77777777" w:rsidR="00DE6BDA" w:rsidRPr="0049371B" w:rsidRDefault="00DE6BDA" w:rsidP="00A24734">
      <w:pPr>
        <w:rPr>
          <w:rFonts w:ascii="Arial" w:hAnsi="Arial" w:cs="Arial"/>
          <w:sz w:val="20"/>
          <w:szCs w:val="20"/>
        </w:rPr>
      </w:pPr>
    </w:p>
    <w:p w14:paraId="0F4389CC" w14:textId="77777777" w:rsidR="00A24734"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4A77CF7B" w14:textId="77777777" w:rsidR="00DE6BDA" w:rsidRPr="0049371B" w:rsidRDefault="00DE6BDA" w:rsidP="00A24734">
      <w:pPr>
        <w:rPr>
          <w:rFonts w:ascii="Arial" w:hAnsi="Arial" w:cs="Arial"/>
          <w:sz w:val="20"/>
          <w:szCs w:val="20"/>
        </w:rPr>
      </w:pP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7A628F32" w14:textId="77777777" w:rsidR="00DE6BDA" w:rsidRPr="0049371B" w:rsidRDefault="00DE6BDA" w:rsidP="00A24734">
      <w:pPr>
        <w:rPr>
          <w:rFonts w:ascii="Arial" w:hAnsi="Arial" w:cs="Arial"/>
          <w:sz w:val="20"/>
          <w:szCs w:val="20"/>
        </w:rPr>
      </w:pPr>
    </w:p>
    <w:p w14:paraId="304B7E94" w14:textId="77777777" w:rsidR="00A24734"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09F0A0FC" w14:textId="77777777" w:rsidR="00DE6BDA" w:rsidRPr="0049371B" w:rsidRDefault="00DE6BDA" w:rsidP="00A24734">
      <w:pPr>
        <w:rPr>
          <w:rFonts w:ascii="Arial" w:hAnsi="Arial" w:cs="Arial"/>
          <w:sz w:val="20"/>
          <w:szCs w:val="20"/>
        </w:rPr>
      </w:pPr>
    </w:p>
    <w:p w14:paraId="5B43C357" w14:textId="77777777" w:rsidR="00A24734"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4BF58B8D" w14:textId="77777777" w:rsidR="00DE6BDA" w:rsidRPr="0049371B" w:rsidRDefault="00DE6BDA" w:rsidP="00A24734">
      <w:pPr>
        <w:rPr>
          <w:rFonts w:ascii="Arial" w:hAnsi="Arial" w:cs="Arial"/>
          <w:sz w:val="20"/>
          <w:szCs w:val="20"/>
        </w:rPr>
      </w:pPr>
    </w:p>
    <w:p w14:paraId="51A9B6B3" w14:textId="77777777" w:rsidR="00A24734"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24FDE7DD" w14:textId="77777777" w:rsidR="00DE6BDA" w:rsidRPr="0049371B" w:rsidRDefault="00DE6BDA" w:rsidP="00A24734">
      <w:pPr>
        <w:rPr>
          <w:rFonts w:ascii="Arial" w:hAnsi="Arial" w:cs="Arial"/>
          <w:sz w:val="20"/>
          <w:szCs w:val="20"/>
        </w:rPr>
      </w:pPr>
    </w:p>
    <w:p w14:paraId="76D2BF8D" w14:textId="77777777" w:rsidR="00A24734"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201092A2" w14:textId="77777777" w:rsidR="00DE6BDA" w:rsidRPr="0049371B" w:rsidRDefault="00DE6BDA" w:rsidP="00A24734">
      <w:pPr>
        <w:rPr>
          <w:rFonts w:ascii="Arial" w:hAnsi="Arial" w:cs="Arial"/>
          <w:sz w:val="20"/>
          <w:szCs w:val="20"/>
        </w:rPr>
      </w:pP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5664C02D"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2A975452" w14:textId="77777777" w:rsidR="0050353A" w:rsidRPr="0049371B" w:rsidRDefault="0050353A" w:rsidP="0050353A">
      <w:pPr>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GP Connect System and Data Sharing</w:t>
      </w:r>
    </w:p>
    <w:p w14:paraId="0A8A9007" w14:textId="0FB2CA86" w:rsidR="0050353A" w:rsidRPr="0049371B" w:rsidRDefault="00DE6BDA" w:rsidP="0050353A">
      <w:pPr>
        <w:pStyle w:val="nhsd-t-body"/>
        <w:rPr>
          <w:rFonts w:ascii="Arial" w:hAnsi="Arial" w:cs="Arial"/>
          <w:color w:val="000000" w:themeColor="text1"/>
          <w:sz w:val="20"/>
          <w:szCs w:val="20"/>
        </w:rPr>
      </w:pPr>
      <w:r>
        <w:rPr>
          <w:rFonts w:ascii="Arial" w:hAnsi="Arial" w:cs="Arial"/>
          <w:sz w:val="20"/>
          <w:szCs w:val="20"/>
        </w:rPr>
        <w:t>Cleobury Mortimer Medical Centre</w:t>
      </w:r>
      <w:r w:rsidRPr="0049371B">
        <w:rPr>
          <w:rFonts w:ascii="Arial" w:hAnsi="Arial" w:cs="Arial"/>
          <w:color w:val="000000" w:themeColor="text1"/>
          <w:sz w:val="20"/>
          <w:szCs w:val="20"/>
        </w:rPr>
        <w:t xml:space="preserve"> </w:t>
      </w:r>
      <w:r w:rsidR="0050353A" w:rsidRPr="0049371B">
        <w:rPr>
          <w:rFonts w:ascii="Arial" w:hAnsi="Arial" w:cs="Arial"/>
          <w:color w:val="000000" w:themeColor="text1"/>
          <w:sz w:val="20"/>
          <w:szCs w:val="20"/>
        </w:rPr>
        <w:t xml:space="preserve">has </w:t>
      </w:r>
      <w:r w:rsidR="00A4660C">
        <w:rPr>
          <w:rFonts w:ascii="Arial" w:hAnsi="Arial" w:cs="Arial"/>
          <w:color w:val="000000" w:themeColor="text1"/>
          <w:sz w:val="20"/>
          <w:szCs w:val="20"/>
        </w:rPr>
        <w:t xml:space="preserve">reviewed </w:t>
      </w:r>
      <w:r w:rsidR="0050353A"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8"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24DFCB6A" w14:textId="77777777" w:rsidR="0050353A"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5B0E9F22" w14:textId="77777777" w:rsidR="00DE6BDA" w:rsidRPr="0049371B" w:rsidRDefault="00DE6BDA" w:rsidP="0050353A">
      <w:pPr>
        <w:spacing w:before="100" w:beforeAutospacing="1" w:after="100" w:afterAutospacing="1"/>
        <w:rPr>
          <w:rFonts w:ascii="Arial" w:hAnsi="Arial" w:cs="Arial"/>
          <w:color w:val="000000" w:themeColor="text1"/>
          <w:sz w:val="20"/>
          <w:szCs w:val="20"/>
        </w:rPr>
      </w:pP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5500E3CF" w14:textId="5AFBD136"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59A8B074" w14:textId="77777777" w:rsidR="00DE6BDA" w:rsidRPr="0049371B" w:rsidRDefault="00DE6BDA" w:rsidP="0050353A">
      <w:pPr>
        <w:rPr>
          <w:rFonts w:ascii="Arial" w:hAnsi="Arial" w:cs="Arial"/>
          <w:color w:val="000000" w:themeColor="text1"/>
          <w:sz w:val="20"/>
          <w:szCs w:val="20"/>
        </w:rPr>
      </w:pPr>
    </w:p>
    <w:p w14:paraId="14BF34E5" w14:textId="77777777" w:rsidR="003A3C73"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4FD7A97E" w14:textId="77777777" w:rsidR="00DE6BDA" w:rsidRPr="0049371B" w:rsidRDefault="00DE6BDA" w:rsidP="003A3C73">
      <w:pPr>
        <w:widowControl w:val="0"/>
        <w:rPr>
          <w:rFonts w:ascii="Arial" w:hAnsi="Arial" w:cs="Arial"/>
          <w:b/>
          <w:sz w:val="20"/>
          <w:szCs w:val="20"/>
        </w:rPr>
      </w:pP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lastRenderedPageBreak/>
        <w:t>Individual Risk Management at a GP practice level however is deemed to be part of your individual healthcare and is covered by our legal powers above.</w:t>
      </w:r>
    </w:p>
    <w:p w14:paraId="335496B5" w14:textId="77777777" w:rsidR="00DE6BDA" w:rsidRPr="0049371B" w:rsidRDefault="00DE6BDA"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Pr="0049371B"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Pr="0049371B"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42B99B12" w14:textId="32243358" w:rsidR="009227C6" w:rsidRPr="0049371B" w:rsidRDefault="006229DE" w:rsidP="0050353A">
      <w:pPr>
        <w:rPr>
          <w:rFonts w:ascii="Arial" w:hAnsi="Arial" w:cs="Arial"/>
          <w:sz w:val="20"/>
          <w:szCs w:val="20"/>
        </w:rPr>
      </w:pPr>
      <w:r w:rsidRPr="0049371B">
        <w:rPr>
          <w:rFonts w:ascii="Arial" w:hAnsi="Arial" w:cs="Arial"/>
          <w:sz w:val="20"/>
          <w:szCs w:val="20"/>
        </w:rPr>
        <w:br w:type="page"/>
      </w:r>
      <w:r w:rsidR="009227C6" w:rsidRPr="0049371B">
        <w:rPr>
          <w:rFonts w:ascii="Arial" w:hAnsi="Arial" w:cs="Arial"/>
          <w:sz w:val="20"/>
          <w:szCs w:val="20"/>
        </w:rPr>
        <w:lastRenderedPageBreak/>
        <w:t xml:space="preserve"> </w:t>
      </w:r>
    </w:p>
    <w:p w14:paraId="1AF163BD" w14:textId="3B956BEC" w:rsidR="00055A82" w:rsidRPr="00DE6BDA" w:rsidRDefault="00055A82" w:rsidP="00055A82">
      <w:pPr>
        <w:rPr>
          <w:rFonts w:ascii="Arial" w:hAnsi="Arial" w:cs="Arial"/>
          <w:b/>
          <w:bCs/>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1A7F100" w14:textId="77777777" w:rsidR="00DE6BDA" w:rsidRPr="0049371B" w:rsidRDefault="00DE6BDA" w:rsidP="00055A82">
      <w:pPr>
        <w:rPr>
          <w:rFonts w:ascii="Arial" w:hAnsi="Arial" w:cs="Arial"/>
          <w:color w:val="000000"/>
          <w:sz w:val="20"/>
          <w:szCs w:val="20"/>
        </w:rPr>
      </w:pP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9"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10"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11"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12"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In light of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13"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4F11EBBA" w:rsidR="00646A1E"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14"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79C11DDE" w14:textId="77777777" w:rsidR="00DE6BDA" w:rsidRPr="0049371B" w:rsidRDefault="00DE6BDA" w:rsidP="00646A1E">
      <w:pPr>
        <w:pStyle w:val="nhsd-t-body"/>
        <w:spacing w:before="0" w:beforeAutospacing="0" w:after="0" w:afterAutospacing="0"/>
        <w:jc w:val="both"/>
        <w:rPr>
          <w:rFonts w:ascii="Arial" w:hAnsi="Arial" w:cs="Arial"/>
          <w:color w:val="000000" w:themeColor="text1"/>
          <w:sz w:val="20"/>
          <w:szCs w:val="20"/>
        </w:rPr>
      </w:pP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lastRenderedPageBreak/>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285367FA" w14:textId="77777777" w:rsidR="00DE6BDA" w:rsidRPr="0049371B" w:rsidRDefault="00DE6BDA" w:rsidP="00646A1E">
      <w:pPr>
        <w:rPr>
          <w:rFonts w:ascii="Arial" w:hAnsi="Arial" w:cs="Arial"/>
          <w:sz w:val="20"/>
          <w:szCs w:val="20"/>
        </w:rPr>
      </w:pP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15"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16"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lastRenderedPageBreak/>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5189C65" w14:textId="22C8AB1A" w:rsidR="001A7F1F" w:rsidRPr="00DE6BDA" w:rsidRDefault="008A351A" w:rsidP="00DE6BDA">
      <w:pPr>
        <w:spacing w:before="126" w:after="126" w:line="300" w:lineRule="atLeast"/>
        <w:rPr>
          <w:rStyle w:val="Emphasis"/>
          <w:rFonts w:ascii="Arial" w:hAnsi="Arial" w:cs="Arial"/>
          <w:i w:val="0"/>
          <w:iCs w:val="0"/>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17"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18"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19"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327B59B0" w14:textId="0758DC27" w:rsidR="001A7F1F" w:rsidRPr="00DE6BDA" w:rsidRDefault="001A7F1F" w:rsidP="00DE6BDA">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0"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1"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35572F4F" w14:textId="499A6DC4" w:rsidR="00DE6BDA" w:rsidRPr="00DE6BDA" w:rsidRDefault="001A7F1F" w:rsidP="00DE6BDA">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lastRenderedPageBreak/>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22"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23"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24"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25"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26"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Default="000104B3" w:rsidP="000104B3">
      <w:pPr>
        <w:pStyle w:val="NormalWeb"/>
        <w:spacing w:line="360" w:lineRule="atLeast"/>
        <w:rPr>
          <w:rStyle w:val="Emphasis"/>
          <w:rFonts w:ascii="Arial" w:hAnsi="Arial" w:cs="Arial"/>
          <w:i w:val="0"/>
          <w:iCs w:val="0"/>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5BDBF574" w14:textId="77777777" w:rsidR="00DE6BDA" w:rsidRPr="0049371B" w:rsidRDefault="00DE6BDA" w:rsidP="000104B3">
      <w:pPr>
        <w:pStyle w:val="NormalWeb"/>
        <w:spacing w:line="360" w:lineRule="atLeast"/>
        <w:rPr>
          <w:rFonts w:ascii="Arial" w:eastAsiaTheme="minorHAnsi" w:hAnsi="Arial" w:cs="Arial"/>
          <w:i/>
          <w:iCs/>
          <w:sz w:val="20"/>
          <w:szCs w:val="20"/>
        </w:rPr>
      </w:pP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lastRenderedPageBreak/>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25827F39"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DE6BDA">
        <w:rPr>
          <w:rFonts w:ascii="Arial" w:hAnsi="Arial" w:cs="Arial"/>
          <w:sz w:val="20"/>
          <w:szCs w:val="20"/>
        </w:rPr>
        <w:t>Cleobury Mortimer Medical Centre</w:t>
      </w:r>
      <w:r w:rsidR="00DE6BDA" w:rsidRPr="0049371B">
        <w:rPr>
          <w:rFonts w:ascii="Arial" w:hAnsi="Arial" w:cs="Arial"/>
          <w:sz w:val="20"/>
          <w:szCs w:val="20"/>
        </w:rPr>
        <w:t xml:space="preserve"> </w:t>
      </w:r>
      <w:r w:rsidR="009A2DD7" w:rsidRPr="0049371B">
        <w:rPr>
          <w:rFonts w:ascii="Arial" w:hAnsi="Arial" w:cs="Arial"/>
          <w:sz w:val="20"/>
          <w:szCs w:val="20"/>
        </w:rPr>
        <w:t>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Pr="0049371B" w:rsidRDefault="004E2C36" w:rsidP="006173EC">
      <w:pPr>
        <w:widowControl w:val="0"/>
        <w:spacing w:after="280"/>
        <w:jc w:val="center"/>
        <w:rPr>
          <w:rFonts w:ascii="Arial" w:hAnsi="Arial" w:cs="Arial"/>
          <w:b/>
          <w:i/>
          <w:sz w:val="20"/>
          <w:szCs w:val="20"/>
        </w:rPr>
      </w:pPr>
    </w:p>
    <w:p w14:paraId="6B896C72" w14:textId="121247E1" w:rsidR="004E2C36" w:rsidRDefault="004E2C36" w:rsidP="006173EC">
      <w:pPr>
        <w:widowControl w:val="0"/>
        <w:spacing w:after="280"/>
        <w:jc w:val="center"/>
        <w:rPr>
          <w:rFonts w:ascii="Arial" w:hAnsi="Arial" w:cs="Arial"/>
          <w:b/>
          <w:i/>
          <w:sz w:val="20"/>
          <w:szCs w:val="20"/>
        </w:rPr>
      </w:pPr>
    </w:p>
    <w:p w14:paraId="29E9A3B1" w14:textId="77777777" w:rsidR="00DE6BDA" w:rsidRDefault="00DE6BDA" w:rsidP="006173EC">
      <w:pPr>
        <w:widowControl w:val="0"/>
        <w:spacing w:after="280"/>
        <w:jc w:val="center"/>
        <w:rPr>
          <w:rFonts w:ascii="Arial" w:hAnsi="Arial" w:cs="Arial"/>
          <w:b/>
          <w:i/>
          <w:sz w:val="20"/>
          <w:szCs w:val="20"/>
        </w:rPr>
      </w:pPr>
    </w:p>
    <w:p w14:paraId="1F8AC76A" w14:textId="77777777" w:rsidR="00DE6BDA" w:rsidRPr="0049371B" w:rsidRDefault="00DE6BDA"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lastRenderedPageBreak/>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27"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28"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29"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Default="004E2C36" w:rsidP="004E2C36">
      <w:pPr>
        <w:rPr>
          <w:rFonts w:ascii="Arial" w:hAnsi="Arial" w:cs="Arial"/>
          <w:sz w:val="20"/>
          <w:szCs w:val="20"/>
        </w:rPr>
      </w:pPr>
    </w:p>
    <w:p w14:paraId="66A1FD8D" w14:textId="77777777" w:rsidR="00DE6BDA" w:rsidRDefault="00DE6BDA" w:rsidP="004E2C36">
      <w:pPr>
        <w:rPr>
          <w:rFonts w:ascii="Arial" w:hAnsi="Arial" w:cs="Arial"/>
          <w:sz w:val="20"/>
          <w:szCs w:val="20"/>
        </w:rPr>
      </w:pPr>
    </w:p>
    <w:p w14:paraId="7387D5A0" w14:textId="77777777" w:rsidR="00DE6BDA" w:rsidRDefault="00DE6BDA" w:rsidP="004E2C36">
      <w:pPr>
        <w:rPr>
          <w:rFonts w:ascii="Arial" w:hAnsi="Arial" w:cs="Arial"/>
          <w:sz w:val="20"/>
          <w:szCs w:val="20"/>
        </w:rPr>
      </w:pPr>
    </w:p>
    <w:p w14:paraId="5C9A0220" w14:textId="77777777" w:rsidR="00DE6BDA" w:rsidRDefault="00DE6BDA" w:rsidP="004E2C36">
      <w:pPr>
        <w:rPr>
          <w:rFonts w:ascii="Arial" w:hAnsi="Arial" w:cs="Arial"/>
          <w:sz w:val="20"/>
          <w:szCs w:val="20"/>
        </w:rPr>
      </w:pPr>
    </w:p>
    <w:p w14:paraId="7687BD19" w14:textId="77777777" w:rsidR="00DE6BDA" w:rsidRPr="0049371B" w:rsidRDefault="00DE6BDA"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lastRenderedPageBreak/>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31"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9371B">
        <w:rPr>
          <w:rFonts w:ascii="Arial" w:hAnsi="Arial" w:cs="Arial"/>
          <w:sz w:val="20"/>
          <w:szCs w:val="20"/>
        </w:rPr>
        <w:lastRenderedPageBreak/>
        <w:t>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t>More information about when we may be able to re-identify the data is in the </w:t>
      </w:r>
      <w:hyperlink r:id="rId32"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33"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34"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35"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lastRenderedPageBreak/>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6"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37"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38"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39"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40"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1"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2"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43"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44"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45"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46"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47"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48"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49"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50"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51"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52"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where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53"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54"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55"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No 3rd parties have access to your personal data unless the law allows them to do </w:t>
      </w:r>
      <w:proofErr w:type="gramStart"/>
      <w:r w:rsidRPr="0049371B">
        <w:rPr>
          <w:rFonts w:ascii="Arial" w:hAnsi="Arial" w:cs="Arial"/>
          <w:sz w:val="20"/>
          <w:szCs w:val="20"/>
        </w:rPr>
        <w:t>so</w:t>
      </w:r>
      <w:proofErr w:type="gramEnd"/>
      <w:r w:rsidRPr="0049371B">
        <w:rPr>
          <w:rFonts w:ascii="Arial" w:hAnsi="Arial" w:cs="Arial"/>
          <w:sz w:val="20"/>
          <w:szCs w:val="20"/>
        </w:rPr>
        <w:t xml:space="preserve">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p>
    <w:p w14:paraId="27BC090F" w14:textId="18199E8C"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32EC1500" w14:textId="77777777" w:rsidR="00DE6BDA" w:rsidRPr="0049371B" w:rsidRDefault="00DE6BDA" w:rsidP="00A200C1">
      <w:pPr>
        <w:widowControl w:val="0"/>
        <w:rPr>
          <w:rFonts w:ascii="Arial" w:hAnsi="Arial" w:cs="Arial"/>
          <w:sz w:val="20"/>
          <w:szCs w:val="20"/>
        </w:rPr>
      </w:pP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464D99E9" w14:textId="77777777" w:rsidR="00DE6BDA" w:rsidRPr="0049371B" w:rsidRDefault="00DE6BDA" w:rsidP="008A351A">
      <w:pPr>
        <w:widowControl w:val="0"/>
        <w:rPr>
          <w:rFonts w:ascii="Arial" w:hAnsi="Arial" w:cs="Arial"/>
          <w:sz w:val="20"/>
          <w:szCs w:val="20"/>
        </w:rPr>
      </w:pP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716F143F"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r w:rsidR="00DE6BDA">
        <w:rPr>
          <w:rFonts w:ascii="Arial" w:hAnsi="Arial" w:cs="Arial"/>
          <w:sz w:val="20"/>
          <w:szCs w:val="20"/>
        </w:rPr>
        <w:t>Cleobury Mortimer Medical Centre</w:t>
      </w:r>
      <w:r w:rsidR="00DE6BDA" w:rsidRPr="0049371B">
        <w:rPr>
          <w:rFonts w:ascii="Arial" w:hAnsi="Arial" w:cs="Arial"/>
          <w:sz w:val="20"/>
          <w:szCs w:val="20"/>
        </w:rPr>
        <w:t xml:space="preserve"> </w:t>
      </w:r>
      <w:r w:rsidR="00A87B6C" w:rsidRPr="0049371B">
        <w:rPr>
          <w:rFonts w:ascii="Arial" w:hAnsi="Arial" w:cs="Arial"/>
          <w:sz w:val="20"/>
          <w:szCs w:val="20"/>
        </w:rPr>
        <w:t>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proofErr w:type="gramStart"/>
      <w:r w:rsidRPr="0049371B">
        <w:rPr>
          <w:rFonts w:ascii="Arial" w:hAnsi="Arial" w:cs="Arial"/>
          <w:sz w:val="20"/>
          <w:szCs w:val="20"/>
        </w:rPr>
        <w:t>people;</w:t>
      </w:r>
      <w:proofErr w:type="gramEnd"/>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proofErr w:type="gramStart"/>
      <w:r w:rsidRPr="0049371B">
        <w:rPr>
          <w:rFonts w:ascii="Arial" w:hAnsi="Arial" w:cs="Arial"/>
          <w:sz w:val="20"/>
          <w:szCs w:val="20"/>
        </w:rPr>
        <w:t>prevented;</w:t>
      </w:r>
      <w:proofErr w:type="gramEnd"/>
      <w:r w:rsidRPr="0049371B">
        <w:rPr>
          <w:rFonts w:ascii="Arial" w:hAnsi="Arial" w:cs="Arial"/>
          <w:sz w:val="20"/>
          <w:szCs w:val="20"/>
        </w:rPr>
        <w:t xml:space="preserve">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w:t>
      </w:r>
      <w:proofErr w:type="gramStart"/>
      <w:r w:rsidRPr="0049371B">
        <w:rPr>
          <w:rFonts w:ascii="Arial" w:hAnsi="Arial" w:cs="Arial"/>
          <w:sz w:val="20"/>
          <w:szCs w:val="20"/>
        </w:rPr>
        <w:t>births;</w:t>
      </w:r>
      <w:proofErr w:type="gramEnd"/>
      <w:r w:rsidRPr="0049371B">
        <w:rPr>
          <w:rFonts w:ascii="Arial" w:hAnsi="Arial" w:cs="Arial"/>
          <w:sz w:val="20"/>
          <w:szCs w:val="20"/>
        </w:rPr>
        <w:t xml:space="preserve">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lastRenderedPageBreak/>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formal court order has been </w:t>
      </w:r>
      <w:proofErr w:type="gramStart"/>
      <w:r w:rsidRPr="0049371B">
        <w:rPr>
          <w:rFonts w:ascii="Arial" w:hAnsi="Arial" w:cs="Arial"/>
          <w:sz w:val="20"/>
          <w:szCs w:val="20"/>
        </w:rPr>
        <w:t>issued;</w:t>
      </w:r>
      <w:proofErr w:type="gramEnd"/>
      <w:r w:rsidRPr="0049371B">
        <w:rPr>
          <w:rFonts w:ascii="Arial" w:hAnsi="Arial" w:cs="Arial"/>
          <w:sz w:val="20"/>
          <w:szCs w:val="20"/>
        </w:rPr>
        <w:t xml:space="preserve">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56"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43BBD354" w:rsidR="003C5E88"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r w:rsidR="00DE6BDA" w:rsidRPr="0049371B">
        <w:rPr>
          <w:rFonts w:ascii="Arial" w:hAnsi="Arial" w:cs="Arial"/>
          <w:sz w:val="20"/>
          <w:szCs w:val="20"/>
        </w:rPr>
        <w:t>GP-to-GP</w:t>
      </w:r>
      <w:r w:rsidRPr="0049371B">
        <w:rPr>
          <w:rFonts w:ascii="Arial" w:hAnsi="Arial" w:cs="Arial"/>
          <w:sz w:val="20"/>
          <w:szCs w:val="20"/>
        </w:rPr>
        <w:t xml:space="preserve"> data transfer and transfer of your hard copy notes.</w:t>
      </w:r>
    </w:p>
    <w:p w14:paraId="0023B0A4" w14:textId="77777777" w:rsidR="00DE6BDA" w:rsidRPr="0049371B" w:rsidRDefault="00DE6BDA" w:rsidP="003C5E88">
      <w:pPr>
        <w:rPr>
          <w:rFonts w:ascii="Arial" w:hAnsi="Arial" w:cs="Arial"/>
          <w:sz w:val="20"/>
          <w:szCs w:val="20"/>
        </w:rPr>
      </w:pP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39E05C13"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This practice is a member of </w:t>
      </w:r>
      <w:proofErr w:type="gramStart"/>
      <w:r w:rsidR="00DE6BDA">
        <w:rPr>
          <w:rFonts w:ascii="Arial" w:hAnsi="Arial" w:cs="Arial"/>
          <w:sz w:val="20"/>
          <w:szCs w:val="20"/>
          <w:shd w:val="clear" w:color="auto" w:fill="FFFFFF"/>
        </w:rPr>
        <w:t>South East</w:t>
      </w:r>
      <w:proofErr w:type="gramEnd"/>
      <w:r w:rsidR="00DE6BDA">
        <w:rPr>
          <w:rFonts w:ascii="Arial" w:hAnsi="Arial" w:cs="Arial"/>
          <w:sz w:val="20"/>
          <w:szCs w:val="20"/>
          <w:shd w:val="clear" w:color="auto" w:fill="FFFFFF"/>
        </w:rPr>
        <w:t xml:space="preserve"> Shropshire PCN</w:t>
      </w:r>
      <w:r w:rsidRPr="0049371B">
        <w:rPr>
          <w:rFonts w:ascii="Arial" w:hAnsi="Arial" w:cs="Arial"/>
          <w:sz w:val="20"/>
          <w:szCs w:val="20"/>
          <w:shd w:val="clear" w:color="auto" w:fill="FFFFFF"/>
        </w:rPr>
        <w:t>.  Other members of the network are:</w:t>
      </w:r>
    </w:p>
    <w:p w14:paraId="189B958D" w14:textId="1262B1C6" w:rsidR="00F52777" w:rsidRDefault="00DE6BDA" w:rsidP="00F52777">
      <w:pPr>
        <w:rPr>
          <w:rFonts w:ascii="Arial" w:hAnsi="Arial" w:cs="Arial"/>
          <w:sz w:val="20"/>
          <w:szCs w:val="20"/>
          <w:shd w:val="clear" w:color="auto" w:fill="FFFFFF"/>
        </w:rPr>
      </w:pPr>
      <w:r>
        <w:rPr>
          <w:rFonts w:ascii="Arial" w:hAnsi="Arial" w:cs="Arial"/>
          <w:sz w:val="20"/>
          <w:szCs w:val="20"/>
          <w:shd w:val="clear" w:color="auto" w:fill="FFFFFF"/>
        </w:rPr>
        <w:t>Albrighton Medical Practice</w:t>
      </w:r>
    </w:p>
    <w:p w14:paraId="2287D822" w14:textId="39F936BF" w:rsidR="00DE6BDA" w:rsidRDefault="00DE6BDA" w:rsidP="00F52777">
      <w:pPr>
        <w:rPr>
          <w:rFonts w:ascii="Arial" w:hAnsi="Arial" w:cs="Arial"/>
          <w:sz w:val="20"/>
          <w:szCs w:val="20"/>
          <w:shd w:val="clear" w:color="auto" w:fill="FFFFFF"/>
        </w:rPr>
      </w:pPr>
      <w:r>
        <w:rPr>
          <w:rFonts w:ascii="Arial" w:hAnsi="Arial" w:cs="Arial"/>
          <w:sz w:val="20"/>
          <w:szCs w:val="20"/>
          <w:shd w:val="clear" w:color="auto" w:fill="FFFFFF"/>
        </w:rPr>
        <w:t>Alveley Medical Practice</w:t>
      </w:r>
    </w:p>
    <w:p w14:paraId="6DBCB132" w14:textId="321A839E" w:rsidR="00DE6BDA" w:rsidRDefault="00DE6BDA" w:rsidP="00F52777">
      <w:pPr>
        <w:rPr>
          <w:rFonts w:ascii="Arial" w:hAnsi="Arial" w:cs="Arial"/>
          <w:sz w:val="20"/>
          <w:szCs w:val="20"/>
          <w:shd w:val="clear" w:color="auto" w:fill="FFFFFF"/>
        </w:rPr>
      </w:pPr>
      <w:r>
        <w:rPr>
          <w:rFonts w:ascii="Arial" w:hAnsi="Arial" w:cs="Arial"/>
          <w:sz w:val="20"/>
          <w:szCs w:val="20"/>
          <w:shd w:val="clear" w:color="auto" w:fill="FFFFFF"/>
        </w:rPr>
        <w:t>Bridgnorth Medical Practice</w:t>
      </w:r>
    </w:p>
    <w:p w14:paraId="6F87F74E" w14:textId="4EA5CE36" w:rsidR="00DE6BDA" w:rsidRDefault="00DE6BDA" w:rsidP="00F52777">
      <w:pPr>
        <w:rPr>
          <w:rFonts w:ascii="Arial" w:hAnsi="Arial" w:cs="Arial"/>
          <w:sz w:val="20"/>
          <w:szCs w:val="20"/>
          <w:shd w:val="clear" w:color="auto" w:fill="FFFFFF"/>
        </w:rPr>
      </w:pPr>
      <w:r>
        <w:rPr>
          <w:rFonts w:ascii="Arial" w:hAnsi="Arial" w:cs="Arial"/>
          <w:sz w:val="20"/>
          <w:szCs w:val="20"/>
          <w:shd w:val="clear" w:color="auto" w:fill="FFFFFF"/>
        </w:rPr>
        <w:t>Broseley Medical Practice</w:t>
      </w:r>
    </w:p>
    <w:p w14:paraId="6A00D6F3" w14:textId="292A73D3" w:rsidR="00DE6BDA" w:rsidRDefault="00DE6BDA" w:rsidP="00F52777">
      <w:pPr>
        <w:rPr>
          <w:rFonts w:ascii="Arial" w:hAnsi="Arial" w:cs="Arial"/>
          <w:sz w:val="20"/>
          <w:szCs w:val="20"/>
          <w:shd w:val="clear" w:color="auto" w:fill="FFFFFF"/>
        </w:rPr>
      </w:pPr>
      <w:r>
        <w:rPr>
          <w:rFonts w:ascii="Arial" w:hAnsi="Arial" w:cs="Arial"/>
          <w:sz w:val="20"/>
          <w:szCs w:val="20"/>
          <w:shd w:val="clear" w:color="auto" w:fill="FFFFFF"/>
        </w:rPr>
        <w:t>Brown Clee Medical Practice</w:t>
      </w:r>
    </w:p>
    <w:p w14:paraId="097DE005" w14:textId="4C4A5BAA" w:rsidR="00DE6BDA" w:rsidRDefault="00DE6BDA" w:rsidP="00F52777">
      <w:pPr>
        <w:rPr>
          <w:rFonts w:ascii="Arial" w:hAnsi="Arial" w:cs="Arial"/>
          <w:sz w:val="20"/>
          <w:szCs w:val="20"/>
          <w:shd w:val="clear" w:color="auto" w:fill="FFFFFF"/>
        </w:rPr>
      </w:pPr>
      <w:r>
        <w:rPr>
          <w:rFonts w:ascii="Arial" w:hAnsi="Arial" w:cs="Arial"/>
          <w:sz w:val="20"/>
          <w:szCs w:val="20"/>
          <w:shd w:val="clear" w:color="auto" w:fill="FFFFFF"/>
        </w:rPr>
        <w:t>Ironbridge Medical Practice</w:t>
      </w:r>
    </w:p>
    <w:p w14:paraId="5848C0E2" w14:textId="5DFF6280" w:rsidR="00DE6BDA" w:rsidRDefault="00DE6BDA" w:rsidP="00F52777">
      <w:pPr>
        <w:rPr>
          <w:rFonts w:ascii="Arial" w:hAnsi="Arial" w:cs="Arial"/>
          <w:sz w:val="20"/>
          <w:szCs w:val="20"/>
          <w:shd w:val="clear" w:color="auto" w:fill="FFFFFF"/>
        </w:rPr>
      </w:pPr>
      <w:r>
        <w:rPr>
          <w:rFonts w:ascii="Arial" w:hAnsi="Arial" w:cs="Arial"/>
          <w:sz w:val="20"/>
          <w:szCs w:val="20"/>
          <w:shd w:val="clear" w:color="auto" w:fill="FFFFFF"/>
        </w:rPr>
        <w:t>Much Wenlock &amp; Cressage Medical Practice</w:t>
      </w:r>
    </w:p>
    <w:p w14:paraId="6C03C591" w14:textId="77777777" w:rsidR="00DE6BDA" w:rsidRDefault="00DE6BDA" w:rsidP="00F52777">
      <w:pPr>
        <w:rPr>
          <w:rFonts w:ascii="Arial" w:hAnsi="Arial" w:cs="Arial"/>
          <w:sz w:val="20"/>
          <w:szCs w:val="20"/>
          <w:shd w:val="clear" w:color="auto" w:fill="FFFFFF"/>
        </w:rPr>
      </w:pPr>
    </w:p>
    <w:p w14:paraId="23EBAD6E" w14:textId="77777777" w:rsidR="00DE6BDA" w:rsidRPr="0049371B" w:rsidRDefault="00DE6BDA" w:rsidP="00F52777">
      <w:pPr>
        <w:rPr>
          <w:rFonts w:ascii="Arial" w:hAnsi="Arial" w:cs="Arial"/>
          <w:sz w:val="20"/>
          <w:szCs w:val="20"/>
          <w:shd w:val="clear" w:color="auto" w:fill="FFFFFF"/>
        </w:rPr>
      </w:pP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w:t>
      </w:r>
      <w:proofErr w:type="gramStart"/>
      <w:r w:rsidR="009D5D3F" w:rsidRPr="0049371B">
        <w:rPr>
          <w:rFonts w:ascii="Arial" w:hAnsi="Arial" w:cs="Arial"/>
          <w:sz w:val="20"/>
          <w:szCs w:val="20"/>
          <w:shd w:val="clear" w:color="auto" w:fill="FFFFFF"/>
        </w:rPr>
        <w:t>information</w:t>
      </w:r>
      <w:proofErr w:type="gramEnd"/>
      <w:r w:rsidR="009D5D3F" w:rsidRPr="0049371B">
        <w:rPr>
          <w:rFonts w:ascii="Arial" w:hAnsi="Arial" w:cs="Arial"/>
          <w:sz w:val="20"/>
          <w:szCs w:val="20"/>
          <w:shd w:val="clear" w:color="auto" w:fill="FFFFFF"/>
        </w:rPr>
        <w:t xml:space="preserve">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57"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58"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9"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086BAD2A" w14:textId="77777777" w:rsidR="00DE6BDA" w:rsidRPr="0049371B" w:rsidRDefault="00DE6BDA" w:rsidP="00A21BF4">
      <w:pPr>
        <w:rPr>
          <w:rFonts w:ascii="Arial" w:hAnsi="Arial" w:cs="Arial"/>
          <w:sz w:val="20"/>
          <w:szCs w:val="20"/>
          <w:shd w:val="clear" w:color="auto" w:fill="FFFFFF"/>
        </w:rPr>
      </w:pP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lastRenderedPageBreak/>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address or contact details (such 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60"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61"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776F7B67" w14:textId="25DEE66C" w:rsidR="001F0F58" w:rsidRPr="00DE6BDA" w:rsidRDefault="00993E3A" w:rsidP="00DE6BD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lastRenderedPageBreak/>
        <w:t>If you do not want to see your health record, or if you would like more information about these changes, please speak to your GP or reception staff.</w:t>
      </w: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2EADC25C" w14:textId="18BD729F" w:rsidR="009347E2" w:rsidRPr="0049371B" w:rsidRDefault="009347E2">
      <w:pPr>
        <w:rPr>
          <w:rFonts w:ascii="Arial" w:hAnsi="Arial" w:cs="Arial"/>
          <w:b/>
          <w:sz w:val="20"/>
          <w:szCs w:val="20"/>
        </w:rPr>
      </w:pPr>
      <w:r w:rsidRPr="0049371B">
        <w:rPr>
          <w:rFonts w:ascii="Arial" w:hAnsi="Arial" w:cs="Arial"/>
          <w:b/>
          <w:sz w:val="20"/>
          <w:szCs w:val="20"/>
        </w:rPr>
        <w:br w:type="page"/>
      </w:r>
    </w:p>
    <w:p w14:paraId="3BCA789A" w14:textId="77777777" w:rsidR="00F51C46" w:rsidRPr="0049371B" w:rsidRDefault="00F51C46" w:rsidP="003A3C73">
      <w:pPr>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7067ECDD"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sidR="00DE6BDA">
        <w:rPr>
          <w:rFonts w:ascii="Arial" w:hAnsi="Arial" w:cs="Arial"/>
          <w:sz w:val="20"/>
          <w:szCs w:val="20"/>
        </w:rPr>
        <w:t>Cleobury Mortimer Medical Centre</w:t>
      </w:r>
      <w:r w:rsidR="00DE6BDA" w:rsidRPr="0049371B">
        <w:rPr>
          <w:rFonts w:ascii="Arial" w:hAnsi="Arial" w:cs="Arial"/>
          <w:sz w:val="20"/>
          <w:szCs w:val="20"/>
        </w:rPr>
        <w:t xml:space="preserve"> </w:t>
      </w:r>
      <w:r w:rsidRPr="0049371B">
        <w:rPr>
          <w:rFonts w:ascii="Arial" w:hAnsi="Arial" w:cs="Arial"/>
          <w:sz w:val="20"/>
          <w:szCs w:val="20"/>
        </w:rPr>
        <w:t xml:space="preserve">we are now obliged to inform </w:t>
      </w:r>
      <w:r w:rsidR="00DE6BDA">
        <w:rPr>
          <w:rFonts w:ascii="Arial" w:hAnsi="Arial" w:cs="Arial"/>
          <w:sz w:val="20"/>
          <w:szCs w:val="20"/>
        </w:rPr>
        <w:t>Shropshire</w:t>
      </w:r>
      <w:r w:rsidRPr="0049371B">
        <w:rPr>
          <w:rFonts w:ascii="Arial" w:hAnsi="Arial" w:cs="Arial"/>
          <w:sz w:val="20"/>
          <w:szCs w:val="20"/>
        </w:rPr>
        <w:t xml:space="preserve">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5F967CD9"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DE6BDA" w:rsidRPr="0049371B">
        <w:rPr>
          <w:rFonts w:ascii="Arial" w:hAnsi="Arial" w:cs="Arial"/>
          <w:color w:val="202A30"/>
          <w:sz w:val="20"/>
          <w:szCs w:val="20"/>
        </w:rPr>
        <w:t>records and</w:t>
      </w:r>
      <w:r w:rsidRPr="0049371B">
        <w:rPr>
          <w:rFonts w:ascii="Arial" w:hAnsi="Arial" w:cs="Arial"/>
          <w:color w:val="202A30"/>
          <w:sz w:val="20"/>
          <w:szCs w:val="20"/>
        </w:rPr>
        <w:t xml:space="preserve">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62"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61013D63" w14:textId="77777777" w:rsidR="00DE6BDA" w:rsidRPr="0049371B" w:rsidRDefault="00DE6BDA" w:rsidP="00154802">
      <w:pPr>
        <w:rPr>
          <w:rFonts w:ascii="Arial" w:hAnsi="Arial" w:cs="Arial"/>
          <w:sz w:val="20"/>
          <w:szCs w:val="20"/>
        </w:rPr>
      </w:pP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3"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headerReference w:type="default" r:id="rId6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F53E2" w14:textId="77777777" w:rsidR="00B11CC1" w:rsidRDefault="00B11CC1" w:rsidP="00F51C46">
      <w:r>
        <w:separator/>
      </w:r>
    </w:p>
  </w:endnote>
  <w:endnote w:type="continuationSeparator" w:id="0">
    <w:p w14:paraId="79C39E88" w14:textId="77777777" w:rsidR="00B11CC1" w:rsidRDefault="00B11CC1"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186A" w14:textId="77777777" w:rsidR="00B11CC1" w:rsidRDefault="00B11CC1" w:rsidP="00F51C46">
      <w:r>
        <w:separator/>
      </w:r>
    </w:p>
  </w:footnote>
  <w:footnote w:type="continuationSeparator" w:id="0">
    <w:p w14:paraId="55A8C547" w14:textId="77777777" w:rsidR="00B11CC1" w:rsidRDefault="00B11CC1" w:rsidP="00F51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58CC4" w14:textId="56888719" w:rsidR="00DE6BDA" w:rsidRPr="00DE6BDA" w:rsidRDefault="00DE6BDA" w:rsidP="00DE6BDA">
    <w:pPr>
      <w:pStyle w:val="Header"/>
      <w:jc w:val="center"/>
      <w:rPr>
        <w:sz w:val="40"/>
        <w:szCs w:val="40"/>
      </w:rPr>
    </w:pPr>
    <w:r w:rsidRPr="00DE6BDA">
      <w:rPr>
        <w:sz w:val="40"/>
        <w:szCs w:val="40"/>
      </w:rPr>
      <w:t>CLEOBURY MORTIMER MEDICAL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27"/>
  </w:num>
  <w:num w:numId="2" w16cid:durableId="693119780">
    <w:abstractNumId w:val="32"/>
  </w:num>
  <w:num w:numId="3" w16cid:durableId="526986339">
    <w:abstractNumId w:val="23"/>
  </w:num>
  <w:num w:numId="4" w16cid:durableId="1082415276">
    <w:abstractNumId w:val="15"/>
  </w:num>
  <w:num w:numId="5" w16cid:durableId="1591085642">
    <w:abstractNumId w:val="1"/>
  </w:num>
  <w:num w:numId="6" w16cid:durableId="480931067">
    <w:abstractNumId w:val="35"/>
  </w:num>
  <w:num w:numId="7" w16cid:durableId="1768648925">
    <w:abstractNumId w:val="3"/>
  </w:num>
  <w:num w:numId="8" w16cid:durableId="1024019690">
    <w:abstractNumId w:val="2"/>
  </w:num>
  <w:num w:numId="9" w16cid:durableId="1317879001">
    <w:abstractNumId w:val="20"/>
  </w:num>
  <w:num w:numId="10" w16cid:durableId="1525903601">
    <w:abstractNumId w:val="0"/>
  </w:num>
  <w:num w:numId="11" w16cid:durableId="365453380">
    <w:abstractNumId w:val="16"/>
  </w:num>
  <w:num w:numId="12" w16cid:durableId="2087023021">
    <w:abstractNumId w:val="30"/>
  </w:num>
  <w:num w:numId="13" w16cid:durableId="1993170551">
    <w:abstractNumId w:val="11"/>
  </w:num>
  <w:num w:numId="14" w16cid:durableId="949779821">
    <w:abstractNumId w:val="38"/>
  </w:num>
  <w:num w:numId="15" w16cid:durableId="1386181383">
    <w:abstractNumId w:val="22"/>
  </w:num>
  <w:num w:numId="16" w16cid:durableId="1078013442">
    <w:abstractNumId w:val="29"/>
  </w:num>
  <w:num w:numId="17" w16cid:durableId="1133330965">
    <w:abstractNumId w:val="19"/>
  </w:num>
  <w:num w:numId="18" w16cid:durableId="1605921569">
    <w:abstractNumId w:val="39"/>
  </w:num>
  <w:num w:numId="19" w16cid:durableId="1688016319">
    <w:abstractNumId w:val="28"/>
  </w:num>
  <w:num w:numId="20" w16cid:durableId="291786995">
    <w:abstractNumId w:val="13"/>
  </w:num>
  <w:num w:numId="21" w16cid:durableId="2115393271">
    <w:abstractNumId w:val="8"/>
  </w:num>
  <w:num w:numId="22" w16cid:durableId="364988891">
    <w:abstractNumId w:val="24"/>
  </w:num>
  <w:num w:numId="23" w16cid:durableId="719599357">
    <w:abstractNumId w:val="21"/>
  </w:num>
  <w:num w:numId="24" w16cid:durableId="854461276">
    <w:abstractNumId w:val="10"/>
  </w:num>
  <w:num w:numId="25" w16cid:durableId="888148783">
    <w:abstractNumId w:val="25"/>
  </w:num>
  <w:num w:numId="26" w16cid:durableId="30230336">
    <w:abstractNumId w:val="14"/>
  </w:num>
  <w:num w:numId="27" w16cid:durableId="97876820">
    <w:abstractNumId w:val="33"/>
  </w:num>
  <w:num w:numId="28" w16cid:durableId="1560822169">
    <w:abstractNumId w:val="7"/>
  </w:num>
  <w:num w:numId="29" w16cid:durableId="893394988">
    <w:abstractNumId w:val="4"/>
  </w:num>
  <w:num w:numId="30" w16cid:durableId="1967470074">
    <w:abstractNumId w:val="31"/>
  </w:num>
  <w:num w:numId="31" w16cid:durableId="2143190756">
    <w:abstractNumId w:val="36"/>
  </w:num>
  <w:num w:numId="32" w16cid:durableId="467017164">
    <w:abstractNumId w:val="5"/>
  </w:num>
  <w:num w:numId="33" w16cid:durableId="228346676">
    <w:abstractNumId w:val="9"/>
  </w:num>
  <w:num w:numId="34" w16cid:durableId="1349798074">
    <w:abstractNumId w:val="17"/>
  </w:num>
  <w:num w:numId="35" w16cid:durableId="1204706260">
    <w:abstractNumId w:val="26"/>
  </w:num>
  <w:num w:numId="36" w16cid:durableId="193421582">
    <w:abstractNumId w:val="6"/>
  </w:num>
  <w:num w:numId="37" w16cid:durableId="296226328">
    <w:abstractNumId w:val="12"/>
  </w:num>
  <w:num w:numId="38" w16cid:durableId="1083448614">
    <w:abstractNumId w:val="34"/>
  </w:num>
  <w:num w:numId="39" w16cid:durableId="2084176729">
    <w:abstractNumId w:val="37"/>
  </w:num>
  <w:num w:numId="40" w16cid:durableId="3036567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40E97"/>
    <w:rsid w:val="0004303B"/>
    <w:rsid w:val="00055A82"/>
    <w:rsid w:val="000643C2"/>
    <w:rsid w:val="000656AB"/>
    <w:rsid w:val="00075D91"/>
    <w:rsid w:val="000819ED"/>
    <w:rsid w:val="00087D48"/>
    <w:rsid w:val="000B4869"/>
    <w:rsid w:val="000C3A44"/>
    <w:rsid w:val="000D1380"/>
    <w:rsid w:val="000D7F82"/>
    <w:rsid w:val="000F2A4A"/>
    <w:rsid w:val="000F7FAC"/>
    <w:rsid w:val="001076D5"/>
    <w:rsid w:val="001500F9"/>
    <w:rsid w:val="00154802"/>
    <w:rsid w:val="001600AA"/>
    <w:rsid w:val="00160BD8"/>
    <w:rsid w:val="00160F19"/>
    <w:rsid w:val="00170C87"/>
    <w:rsid w:val="0019112D"/>
    <w:rsid w:val="001A4EA7"/>
    <w:rsid w:val="001A7F1F"/>
    <w:rsid w:val="001C7743"/>
    <w:rsid w:val="001E549B"/>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5E74"/>
    <w:rsid w:val="00457267"/>
    <w:rsid w:val="00466AEC"/>
    <w:rsid w:val="00477A76"/>
    <w:rsid w:val="00483065"/>
    <w:rsid w:val="00484B6B"/>
    <w:rsid w:val="0049371B"/>
    <w:rsid w:val="004B10EE"/>
    <w:rsid w:val="004B23E6"/>
    <w:rsid w:val="004B6DC9"/>
    <w:rsid w:val="004B7014"/>
    <w:rsid w:val="004D3B0E"/>
    <w:rsid w:val="004D6D67"/>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E0A0D"/>
    <w:rsid w:val="005E1E0E"/>
    <w:rsid w:val="005F4FE9"/>
    <w:rsid w:val="005F67FF"/>
    <w:rsid w:val="006173EC"/>
    <w:rsid w:val="006229DE"/>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7E07"/>
    <w:rsid w:val="00A87B6C"/>
    <w:rsid w:val="00AA4B89"/>
    <w:rsid w:val="00AA4BD8"/>
    <w:rsid w:val="00AB32DB"/>
    <w:rsid w:val="00AB58F6"/>
    <w:rsid w:val="00AD50A7"/>
    <w:rsid w:val="00AF5753"/>
    <w:rsid w:val="00AF793B"/>
    <w:rsid w:val="00B11CC1"/>
    <w:rsid w:val="00B26C14"/>
    <w:rsid w:val="00B26E17"/>
    <w:rsid w:val="00B42BD0"/>
    <w:rsid w:val="00B47C5F"/>
    <w:rsid w:val="00B63C3B"/>
    <w:rsid w:val="00B92B1C"/>
    <w:rsid w:val="00B94788"/>
    <w:rsid w:val="00BA057D"/>
    <w:rsid w:val="00BF4D87"/>
    <w:rsid w:val="00C13A3D"/>
    <w:rsid w:val="00C16543"/>
    <w:rsid w:val="00C16FFD"/>
    <w:rsid w:val="00C47616"/>
    <w:rsid w:val="00C62EAC"/>
    <w:rsid w:val="00C71581"/>
    <w:rsid w:val="00C87466"/>
    <w:rsid w:val="00CA5A4E"/>
    <w:rsid w:val="00CD665F"/>
    <w:rsid w:val="00CF37C0"/>
    <w:rsid w:val="00D00D64"/>
    <w:rsid w:val="00D20053"/>
    <w:rsid w:val="00D413C3"/>
    <w:rsid w:val="00D76E11"/>
    <w:rsid w:val="00D91DBE"/>
    <w:rsid w:val="00DA0F4F"/>
    <w:rsid w:val="00DA51F7"/>
    <w:rsid w:val="00DB02BD"/>
    <w:rsid w:val="00DB1ED4"/>
    <w:rsid w:val="00DC3D10"/>
    <w:rsid w:val="00DD2E98"/>
    <w:rsid w:val="00DE02C5"/>
    <w:rsid w:val="00DE4B64"/>
    <w:rsid w:val="00DE6BDA"/>
    <w:rsid w:val="00DF6BF5"/>
    <w:rsid w:val="00E02812"/>
    <w:rsid w:val="00E10357"/>
    <w:rsid w:val="00E1778E"/>
    <w:rsid w:val="00E22970"/>
    <w:rsid w:val="00E3079F"/>
    <w:rsid w:val="00E341B4"/>
    <w:rsid w:val="00E37206"/>
    <w:rsid w:val="00E4294C"/>
    <w:rsid w:val="00E566A9"/>
    <w:rsid w:val="00E6153A"/>
    <w:rsid w:val="00E7773F"/>
    <w:rsid w:val="00E85980"/>
    <w:rsid w:val="00EA2CE2"/>
    <w:rsid w:val="00EA5E86"/>
    <w:rsid w:val="00EB5E5C"/>
    <w:rsid w:val="00EC0DB2"/>
    <w:rsid w:val="00EC2B92"/>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styleId="Header">
    <w:name w:val="header"/>
    <w:basedOn w:val="Normal"/>
    <w:link w:val="HeaderChar"/>
    <w:uiPriority w:val="99"/>
    <w:unhideWhenUsed/>
    <w:rsid w:val="00DE6BDA"/>
    <w:pPr>
      <w:tabs>
        <w:tab w:val="center" w:pos="4513"/>
        <w:tab w:val="right" w:pos="9026"/>
      </w:tabs>
    </w:pPr>
  </w:style>
  <w:style w:type="character" w:customStyle="1" w:styleId="HeaderChar">
    <w:name w:val="Header Char"/>
    <w:basedOn w:val="DefaultParagraphFont"/>
    <w:link w:val="Header"/>
    <w:uiPriority w:val="99"/>
    <w:rsid w:val="00DE6BDA"/>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DE6BDA"/>
    <w:pPr>
      <w:tabs>
        <w:tab w:val="center" w:pos="4513"/>
        <w:tab w:val="right" w:pos="9026"/>
      </w:tabs>
    </w:pPr>
  </w:style>
  <w:style w:type="character" w:customStyle="1" w:styleId="FooterChar">
    <w:name w:val="Footer Char"/>
    <w:basedOn w:val="DefaultParagraphFont"/>
    <w:link w:val="Footer"/>
    <w:uiPriority w:val="99"/>
    <w:rsid w:val="00DE6BDA"/>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data-access-request-service-dars/data-uses-register" TargetMode="External"/><Relationship Id="rId21" Type="http://schemas.openxmlformats.org/officeDocument/2006/relationships/hyperlink" Target="https://digital.nhs.uk/about-nhs-digital/corporate-information-and-documents/directions-and-data-provision-notices/secretary-of-state-directions/national-obesity-audit-directions-2023" TargetMode="External"/><Relationship Id="rId34" Type="http://schemas.openxmlformats.org/officeDocument/2006/relationships/hyperlink" Target="https://digital.nhs.uk/data-and-information/data-collections-and-data-sets/data-collections/general-practice-data-for-planning-and-research" TargetMode="External"/><Relationship Id="rId42" Type="http://schemas.openxmlformats.org/officeDocument/2006/relationships/hyperlink" Target="https://digital.nhs.uk/about-nhs-digital/corporate-information-and-documents/independent-group-advising-on-the-release-of-data" TargetMode="External"/><Relationship Id="rId47" Type="http://schemas.openxmlformats.org/officeDocument/2006/relationships/hyperlink" Target="https://digital.nhs.uk/about-nhs-digital/corporate-information-and-documents/independent-group-advising-on-the-release-of-data" TargetMode="External"/><Relationship Id="rId50" Type="http://schemas.openxmlformats.org/officeDocument/2006/relationships/hyperlink" Target="https://www.hra.nhs.uk/" TargetMode="External"/><Relationship Id="rId55" Type="http://schemas.openxmlformats.org/officeDocument/2006/relationships/hyperlink" Target="https://understandingpatientdata.org.uk/what-you-need-know" TargetMode="External"/><Relationship Id="rId63" Type="http://schemas.openxmlformats.org/officeDocument/2006/relationships/hyperlink" Target="mailto:Couldrey@m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prd.com/transparency-information" TargetMode="External"/><Relationship Id="rId29" Type="http://schemas.openxmlformats.org/officeDocument/2006/relationships/hyperlink" Target="http://www.gov.uk/government/organisations/national-data-guardian" TargetMode="External"/><Relationship Id="rId11"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binaries/content/assets/website-assets/services/dars/blank-dsa.pdf" TargetMode="External"/><Relationship Id="rId32" Type="http://schemas.openxmlformats.org/officeDocument/2006/relationships/hyperlink" Target="https://digital.nhs.uk/data-and-information/data-collections-and-data-sets/data-collections/general-practice-data-for-planning-and-research/transparency-notice" TargetMode="External"/><Relationship Id="rId37" Type="http://schemas.openxmlformats.org/officeDocument/2006/relationships/hyperlink" Target="https://nhs-prod.global.ssl.fastly.net/binaries/content/assets/website-assets/data-and-information/data-collections/general-practice-data-for-planning-and-research/type-1-opt-out-form.docx" TargetMode="External"/><Relationship Id="rId4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53" Type="http://schemas.openxmlformats.org/officeDocument/2006/relationships/hyperlink" Target="http://www.nhs.uk/your-nhs-data-matters" TargetMode="External"/><Relationship Id="rId58" Type="http://schemas.openxmlformats.org/officeDocument/2006/relationships/hyperlink" Target="https://www.optum.co.uk"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access.login.nhs.uk/enter-email" TargetMode="External"/><Relationship Id="rId19" Type="http://schemas.openxmlformats.org/officeDocument/2006/relationships/hyperlink" Target="https://digital.nhs.uk/data-and-information/publications/statistical/national-obesity-audit" TargetMode="External"/><Relationship Id="rId14" Type="http://schemas.openxmlformats.org/officeDocument/2006/relationships/hyperlink" Target="https://digital.nhs.uk/services/summary-care-records-scr/scr-patient-consent-preference-form" TargetMode="External"/><Relationship Id="rId22" Type="http://schemas.openxmlformats.org/officeDocument/2006/relationships/hyperlink" Target="https://digital.nhs.uk/services/data-access-request-service-dars" TargetMode="External"/><Relationship Id="rId27" Type="http://schemas.openxmlformats.org/officeDocument/2006/relationships/hyperlink" Target="http://www.bma.org.uk/"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3" Type="http://schemas.openxmlformats.org/officeDocument/2006/relationships/hyperlink" Target="https://digital.nhs.uk/data" TargetMode="External"/><Relationship Id="rId48" Type="http://schemas.openxmlformats.org/officeDocument/2006/relationships/hyperlink" Target="https://digital.nhs.uk/data-and-information/data-insights-and-statistics/improving-our-data-processing-services" TargetMode="External"/><Relationship Id="rId56" Type="http://schemas.openxmlformats.org/officeDocument/2006/relationships/hyperlink" Target="https://transform.england.nhs.uk/information-governance/guidance/records-management-code/" TargetMode="External"/><Relationship Id="rId64" Type="http://schemas.openxmlformats.org/officeDocument/2006/relationships/header" Target="header1.xml"/><Relationship Id="rId8" Type="http://schemas.openxmlformats.org/officeDocument/2006/relationships/hyperlink" Target="https://www.england.nhs.uk/digitaltechnology/connecteddigitalsystems/health-and-care-data/joining-up-health-and-care-data/" TargetMode="External"/><Relationship Id="rId51" Type="http://schemas.openxmlformats.org/officeDocument/2006/relationships/hyperlink" Target="https://www.hra.nhs.uk/about-us/committees-and-services/confidentiality-advisory-group/" TargetMode="External"/><Relationship Id="rId3" Type="http://schemas.openxmlformats.org/officeDocument/2006/relationships/styles" Target="styles.xml"/><Relationship Id="rId12" Type="http://schemas.openxmlformats.org/officeDocument/2006/relationships/hyperlink" Target="https://digital.nhs.uk/services/summary-care-records-scr/additional-information-in-scr" TargetMode="External"/><Relationship Id="rId17" Type="http://schemas.openxmlformats.org/officeDocument/2006/relationships/hyperlink" Target="http://www.nice.org.uk/guidance/cg189" TargetMode="External"/><Relationship Id="rId25" Type="http://schemas.openxmlformats.org/officeDocument/2006/relationships/hyperlink" Target="https://digital.nhs.uk/services/data-access-request-service-dars/data-sharing-audits" TargetMode="External"/><Relationship Id="rId33" Type="http://schemas.openxmlformats.org/officeDocument/2006/relationships/hyperlink" Target="mailto:enquiries@nhsdigital.nhs.uk" TargetMode="External"/><Relationship Id="rId38" Type="http://schemas.openxmlformats.org/officeDocument/2006/relationships/hyperlink" Target="https://www.nhs.uk/your-nhs-data-matters/" TargetMode="External"/><Relationship Id="rId46" Type="http://schemas.openxmlformats.org/officeDocument/2006/relationships/hyperlink" Target="https://digital.nhs.uk/services/data-access-request-service-dars" TargetMode="External"/><Relationship Id="rId59" Type="http://schemas.openxmlformats.org/officeDocument/2006/relationships/hyperlink" Target="http://www.optum.co.uk" TargetMode="External"/><Relationship Id="rId20" Type="http://schemas.openxmlformats.org/officeDocument/2006/relationships/hyperlink" Target="https://digital.nhs.uk/about-nhs-digital/corporate-information-and-documents/directions-and-data-provision-notices/data-provision-notices-dpns/cardiovascular-disease-prevention-audit" TargetMode="External"/><Relationship Id="rId4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4" Type="http://schemas.openxmlformats.org/officeDocument/2006/relationships/hyperlink" Target="https://www.hra.nhs.uk/information-about-patients/%20" TargetMode="External"/><Relationship Id="rId62"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3" Type="http://schemas.openxmlformats.org/officeDocument/2006/relationships/hyperlink" Target="https://digital.nhs.uk/binaries/content/assets/website-assets/services/dars/data-sharing-framework-contract" TargetMode="External"/><Relationship Id="rId28" Type="http://schemas.openxmlformats.org/officeDocument/2006/relationships/hyperlink" Target="http://www.rcgp.org.uk/" TargetMode="External"/><Relationship Id="rId36" Type="http://schemas.openxmlformats.org/officeDocument/2006/relationships/hyperlink" Target="https://digital.nhs.uk/data-and-information/data-collections-and-data-sets/data-collections/general-practice-data-for-planning-and-research/transparency-notice"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www.necsu.nhs.uk" TargetMode="External"/><Relationship Id="rId10" Type="http://schemas.openxmlformats.org/officeDocument/2006/relationships/hyperlink" Target="https://digital.nhs.uk/services/summary-care-records-scr/summary-care-records-scr-information-for-patients" TargetMode="External"/><Relationship Id="rId31" Type="http://schemas.openxmlformats.org/officeDocument/2006/relationships/hyperlink" Target="https://creativecommons.org/licenses/by/2.0/" TargetMode="External"/><Relationship Id="rId44" Type="http://schemas.openxmlformats.org/officeDocument/2006/relationships/hyperlink" Target="https://digital.nhs.uk/dashboards" TargetMode="External"/><Relationship Id="rId52" Type="http://schemas.openxmlformats.org/officeDocument/2006/relationships/hyperlink" Target="https://digital.nhs.uk/services/data-access-request-service-dars/register-of-approved-data-releases" TargetMode="External"/><Relationship Id="rId60" Type="http://schemas.openxmlformats.org/officeDocument/2006/relationships/hyperlink" Target="http://www.nhs.uk/nhs-app/"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cal.nihr.ac.uk/documents/crn-wm-privacy-notice-march-2021/27187" TargetMode="External"/><Relationship Id="rId13" Type="http://schemas.openxmlformats.org/officeDocument/2006/relationships/hyperlink" Target="https://www.gov.uk/government/publications/coronavirus-covid-19-notification-of-data-controllers-to-share-information" TargetMode="External"/><Relationship Id="rId18" Type="http://schemas.openxmlformats.org/officeDocument/2006/relationships/hyperlink" Target="https://digital.nhs.uk/binaries/content/assets/website-assets/data-and-information/clinical-audits-and-registries/national-obesity-audit/noa_dataset_specification_v2.0.xlsx"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28</Pages>
  <Words>12731</Words>
  <Characters>72570</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TOLLEY, Cate (CLEOBURY MORTIMER SURGERY)</cp:lastModifiedBy>
  <cp:revision>3</cp:revision>
  <cp:lastPrinted>2019-06-13T09:46:00Z</cp:lastPrinted>
  <dcterms:created xsi:type="dcterms:W3CDTF">2025-04-29T10:28:00Z</dcterms:created>
  <dcterms:modified xsi:type="dcterms:W3CDTF">2025-04-29T10:29:00Z</dcterms:modified>
</cp:coreProperties>
</file>