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3E2E3" w14:textId="77777777" w:rsidR="00A126E3" w:rsidRDefault="00A126E3" w:rsidP="00675084">
      <w:pPr>
        <w:jc w:val="center"/>
        <w:rPr>
          <w:rFonts w:ascii="Arial" w:hAnsi="Arial" w:cs="Arial"/>
          <w:b/>
          <w:sz w:val="36"/>
          <w:szCs w:val="36"/>
        </w:rPr>
      </w:pPr>
    </w:p>
    <w:p w14:paraId="1956DFA9" w14:textId="3C325B3F" w:rsidR="00E85096" w:rsidRDefault="001F51C5" w:rsidP="00675084">
      <w:pPr>
        <w:jc w:val="center"/>
        <w:rPr>
          <w:rFonts w:ascii="Arial" w:hAnsi="Arial" w:cs="Arial"/>
          <w:b/>
          <w:sz w:val="36"/>
          <w:szCs w:val="36"/>
        </w:rPr>
      </w:pPr>
      <w:r>
        <w:rPr>
          <w:rFonts w:ascii="Arial" w:hAnsi="Arial" w:cs="Arial"/>
          <w:b/>
          <w:sz w:val="36"/>
          <w:szCs w:val="36"/>
        </w:rPr>
        <w:t>S</w:t>
      </w:r>
      <w:r w:rsidR="00930DD1">
        <w:rPr>
          <w:rFonts w:ascii="Arial" w:hAnsi="Arial" w:cs="Arial"/>
          <w:b/>
          <w:sz w:val="36"/>
          <w:szCs w:val="36"/>
        </w:rPr>
        <w:t>hared Care Agreements</w:t>
      </w:r>
      <w:r>
        <w:rPr>
          <w:rFonts w:ascii="Arial" w:hAnsi="Arial" w:cs="Arial"/>
          <w:b/>
          <w:sz w:val="36"/>
          <w:szCs w:val="36"/>
        </w:rPr>
        <w:t xml:space="preserve"> Policy</w:t>
      </w:r>
    </w:p>
    <w:p w14:paraId="1EE994DF" w14:textId="77777777" w:rsidR="00402500" w:rsidRPr="000858D5" w:rsidRDefault="00402500" w:rsidP="00402500">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0" w:name="_Toc498156677"/>
      <w:bookmarkStart w:id="1" w:name="_Toc164953376"/>
      <w:r>
        <w:rPr>
          <w:sz w:val="28"/>
          <w:szCs w:val="28"/>
        </w:rPr>
        <w:t>Important information</w:t>
      </w:r>
      <w:bookmarkEnd w:id="0"/>
      <w:bookmarkEnd w:id="1"/>
    </w:p>
    <w:p w14:paraId="34CF158F" w14:textId="77777777" w:rsidR="00E85096" w:rsidRDefault="00E85096">
      <w:pP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21"/>
        <w:gridCol w:w="2224"/>
        <w:gridCol w:w="2102"/>
        <w:gridCol w:w="3273"/>
      </w:tblGrid>
      <w:tr w:rsidR="00675084" w:rsidRPr="00CD3C24" w14:paraId="522235BE" w14:textId="77777777" w:rsidTr="00A126E3">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B9B71F8" w14:textId="77777777" w:rsidR="00675084" w:rsidRPr="000D1832" w:rsidRDefault="00675084" w:rsidP="00740E18">
            <w:pPr>
              <w:jc w:val="center"/>
              <w:rPr>
                <w:rFonts w:ascii="Arial" w:eastAsia="Arial" w:hAnsi="Arial" w:cs="Arial"/>
                <w:b/>
                <w:spacing w:val="-2"/>
                <w:sz w:val="26"/>
                <w:szCs w:val="26"/>
              </w:rPr>
            </w:pPr>
            <w:r w:rsidRPr="000D1832">
              <w:rPr>
                <w:rFonts w:ascii="Arial" w:eastAsia="Arial" w:hAnsi="Arial" w:cs="Arial"/>
                <w:b/>
                <w:spacing w:val="-2"/>
                <w:sz w:val="26"/>
                <w:szCs w:val="26"/>
              </w:rPr>
              <w:t>Version:</w:t>
            </w:r>
          </w:p>
        </w:tc>
        <w:tc>
          <w:tcPr>
            <w:tcW w:w="202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5702B3C" w14:textId="77777777" w:rsidR="00675084" w:rsidRPr="000D1832" w:rsidRDefault="00675084" w:rsidP="00740E18">
            <w:pPr>
              <w:jc w:val="center"/>
              <w:rPr>
                <w:rFonts w:ascii="Arial" w:eastAsia="Arial" w:hAnsi="Arial" w:cs="Arial"/>
                <w:b/>
                <w:spacing w:val="-2"/>
                <w:sz w:val="26"/>
                <w:szCs w:val="26"/>
              </w:rPr>
            </w:pPr>
            <w:r w:rsidRPr="000D1832">
              <w:rPr>
                <w:rFonts w:ascii="Arial" w:eastAsia="Arial" w:hAnsi="Arial" w:cs="Arial"/>
                <w:b/>
                <w:spacing w:val="-2"/>
                <w:sz w:val="26"/>
                <w:szCs w:val="26"/>
              </w:rPr>
              <w:t>Review date:</w:t>
            </w:r>
          </w:p>
        </w:tc>
        <w:tc>
          <w:tcPr>
            <w:tcW w:w="2224"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B376542" w14:textId="77777777" w:rsidR="00675084" w:rsidRPr="000D1832" w:rsidRDefault="00675084" w:rsidP="00740E18">
            <w:pPr>
              <w:jc w:val="center"/>
              <w:rPr>
                <w:rFonts w:ascii="Arial" w:eastAsia="Arial" w:hAnsi="Arial" w:cs="Arial"/>
                <w:b/>
                <w:spacing w:val="-2"/>
                <w:sz w:val="26"/>
                <w:szCs w:val="26"/>
              </w:rPr>
            </w:pPr>
            <w:r w:rsidRPr="000D1832">
              <w:rPr>
                <w:rFonts w:ascii="Arial" w:eastAsia="Arial" w:hAnsi="Arial" w:cs="Arial"/>
                <w:b/>
                <w:spacing w:val="-2"/>
                <w:sz w:val="26"/>
                <w:szCs w:val="26"/>
              </w:rPr>
              <w:t>Edited by:</w:t>
            </w:r>
          </w:p>
        </w:tc>
        <w:tc>
          <w:tcPr>
            <w:tcW w:w="2102"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7343AE3" w14:textId="77777777" w:rsidR="00675084" w:rsidRPr="000D1832" w:rsidRDefault="00675084" w:rsidP="00740E18">
            <w:pPr>
              <w:jc w:val="center"/>
              <w:rPr>
                <w:rFonts w:ascii="Arial" w:eastAsia="Arial" w:hAnsi="Arial" w:cs="Arial"/>
                <w:b/>
                <w:spacing w:val="-2"/>
                <w:sz w:val="26"/>
                <w:szCs w:val="26"/>
              </w:rPr>
            </w:pPr>
            <w:r w:rsidRPr="000D1832">
              <w:rPr>
                <w:rFonts w:ascii="Arial" w:eastAsia="Arial" w:hAnsi="Arial" w:cs="Arial"/>
                <w:b/>
                <w:spacing w:val="-2"/>
                <w:sz w:val="26"/>
                <w:szCs w:val="26"/>
              </w:rPr>
              <w:t>Approved by:</w:t>
            </w:r>
          </w:p>
        </w:tc>
        <w:tc>
          <w:tcPr>
            <w:tcW w:w="3273"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9C41338" w14:textId="77777777" w:rsidR="00675084" w:rsidRPr="000D1832" w:rsidRDefault="00675084" w:rsidP="00740E18">
            <w:pPr>
              <w:jc w:val="center"/>
              <w:rPr>
                <w:rFonts w:ascii="Arial" w:eastAsia="Arial" w:hAnsi="Arial" w:cs="Arial"/>
                <w:b/>
                <w:spacing w:val="-2"/>
                <w:sz w:val="26"/>
                <w:szCs w:val="26"/>
              </w:rPr>
            </w:pPr>
            <w:r w:rsidRPr="000D1832">
              <w:rPr>
                <w:rFonts w:ascii="Arial" w:eastAsia="Arial" w:hAnsi="Arial" w:cs="Arial"/>
                <w:b/>
                <w:spacing w:val="-2"/>
                <w:sz w:val="26"/>
                <w:szCs w:val="26"/>
              </w:rPr>
              <w:t>Comments:</w:t>
            </w:r>
          </w:p>
        </w:tc>
      </w:tr>
      <w:tr w:rsidR="00A126E3" w:rsidRPr="00CD3C24" w14:paraId="75B3BBF8" w14:textId="77777777" w:rsidTr="00A126E3">
        <w:trPr>
          <w:jc w:val="center"/>
        </w:trPr>
        <w:tc>
          <w:tcPr>
            <w:tcW w:w="1241" w:type="dxa"/>
            <w:tcBorders>
              <w:top w:val="single" w:sz="4" w:space="0" w:color="333333"/>
              <w:left w:val="single" w:sz="4" w:space="0" w:color="333333"/>
              <w:bottom w:val="single" w:sz="4" w:space="0" w:color="333333"/>
              <w:right w:val="single" w:sz="4" w:space="0" w:color="333333"/>
            </w:tcBorders>
            <w:hideMark/>
          </w:tcPr>
          <w:p w14:paraId="0574912B" w14:textId="0EE62329" w:rsidR="00A126E3" w:rsidRPr="000D1832" w:rsidRDefault="00A126E3" w:rsidP="00A126E3">
            <w:pPr>
              <w:jc w:val="center"/>
              <w:rPr>
                <w:rFonts w:ascii="Arial" w:eastAsia="Arial" w:hAnsi="Arial" w:cs="Arial"/>
                <w:spacing w:val="-2"/>
                <w:sz w:val="26"/>
                <w:szCs w:val="26"/>
              </w:rPr>
            </w:pPr>
            <w:r>
              <w:rPr>
                <w:rFonts w:ascii="Arial" w:eastAsia="Arial" w:hAnsi="Arial" w:cs="Arial"/>
                <w:spacing w:val="-2"/>
                <w:sz w:val="26"/>
                <w:szCs w:val="26"/>
              </w:rPr>
              <w:t>1</w:t>
            </w:r>
          </w:p>
        </w:tc>
        <w:tc>
          <w:tcPr>
            <w:tcW w:w="2021" w:type="dxa"/>
            <w:tcBorders>
              <w:top w:val="single" w:sz="4" w:space="0" w:color="333333"/>
              <w:left w:val="single" w:sz="4" w:space="0" w:color="333333"/>
              <w:bottom w:val="single" w:sz="4" w:space="0" w:color="333333"/>
              <w:right w:val="single" w:sz="4" w:space="0" w:color="333333"/>
            </w:tcBorders>
          </w:tcPr>
          <w:p w14:paraId="63F1DB9C" w14:textId="3A65F24D" w:rsidR="00A126E3" w:rsidRPr="000D1832" w:rsidRDefault="00930DD1" w:rsidP="00A126E3">
            <w:pPr>
              <w:rPr>
                <w:rFonts w:ascii="Arial" w:eastAsia="Arial" w:hAnsi="Arial" w:cs="Arial"/>
                <w:spacing w:val="-2"/>
                <w:sz w:val="26"/>
                <w:szCs w:val="26"/>
              </w:rPr>
            </w:pPr>
            <w:r>
              <w:rPr>
                <w:rFonts w:ascii="Arial" w:eastAsia="Arial" w:hAnsi="Arial" w:cs="Arial"/>
                <w:spacing w:val="-2"/>
                <w:sz w:val="26"/>
                <w:szCs w:val="26"/>
              </w:rPr>
              <w:t>01/08/2026</w:t>
            </w:r>
          </w:p>
        </w:tc>
        <w:tc>
          <w:tcPr>
            <w:tcW w:w="2224" w:type="dxa"/>
            <w:tcBorders>
              <w:top w:val="single" w:sz="4" w:space="0" w:color="333333"/>
              <w:left w:val="single" w:sz="4" w:space="0" w:color="333333"/>
              <w:bottom w:val="single" w:sz="4" w:space="0" w:color="333333"/>
              <w:right w:val="single" w:sz="4" w:space="0" w:color="333333"/>
            </w:tcBorders>
          </w:tcPr>
          <w:p w14:paraId="5082EA54" w14:textId="101757C3" w:rsidR="00A126E3" w:rsidRPr="000D1832" w:rsidRDefault="00930DD1" w:rsidP="00A126E3">
            <w:pPr>
              <w:rPr>
                <w:rFonts w:ascii="Arial" w:eastAsia="Arial" w:hAnsi="Arial" w:cs="Arial"/>
                <w:spacing w:val="-2"/>
                <w:sz w:val="26"/>
                <w:szCs w:val="26"/>
              </w:rPr>
            </w:pPr>
            <w:r>
              <w:rPr>
                <w:rFonts w:ascii="Arial" w:eastAsia="Arial" w:hAnsi="Arial" w:cs="Arial"/>
                <w:spacing w:val="-2"/>
                <w:sz w:val="26"/>
                <w:szCs w:val="26"/>
              </w:rPr>
              <w:t>Dr Maddy Venables</w:t>
            </w:r>
          </w:p>
        </w:tc>
        <w:tc>
          <w:tcPr>
            <w:tcW w:w="2102" w:type="dxa"/>
            <w:tcBorders>
              <w:top w:val="single" w:sz="4" w:space="0" w:color="333333"/>
              <w:left w:val="single" w:sz="4" w:space="0" w:color="333333"/>
              <w:bottom w:val="single" w:sz="4" w:space="0" w:color="333333"/>
              <w:right w:val="single" w:sz="4" w:space="0" w:color="333333"/>
            </w:tcBorders>
          </w:tcPr>
          <w:p w14:paraId="49647F9E" w14:textId="0DEF3996" w:rsidR="00A126E3" w:rsidRPr="000D1832" w:rsidRDefault="00A126E3" w:rsidP="00A126E3">
            <w:pPr>
              <w:rPr>
                <w:rFonts w:ascii="Arial" w:eastAsia="Arial" w:hAnsi="Arial" w:cs="Arial"/>
                <w:spacing w:val="-2"/>
                <w:sz w:val="26"/>
                <w:szCs w:val="26"/>
              </w:rPr>
            </w:pPr>
            <w:r>
              <w:rPr>
                <w:rFonts w:ascii="Arial" w:eastAsia="Arial" w:hAnsi="Arial" w:cs="Arial"/>
                <w:spacing w:val="-2"/>
                <w:sz w:val="26"/>
                <w:szCs w:val="26"/>
              </w:rPr>
              <w:t>Cate Tolley</w:t>
            </w:r>
          </w:p>
        </w:tc>
        <w:tc>
          <w:tcPr>
            <w:tcW w:w="3273" w:type="dxa"/>
            <w:tcBorders>
              <w:top w:val="single" w:sz="4" w:space="0" w:color="333333"/>
              <w:left w:val="single" w:sz="4" w:space="0" w:color="333333"/>
              <w:bottom w:val="single" w:sz="4" w:space="0" w:color="333333"/>
              <w:right w:val="single" w:sz="4" w:space="0" w:color="333333"/>
            </w:tcBorders>
          </w:tcPr>
          <w:p w14:paraId="2F80A7D7" w14:textId="77777777" w:rsidR="00A126E3" w:rsidRPr="000D1832" w:rsidRDefault="00A126E3" w:rsidP="00A126E3">
            <w:pPr>
              <w:rPr>
                <w:rFonts w:ascii="Arial" w:hAnsi="Arial"/>
                <w:sz w:val="26"/>
                <w:szCs w:val="26"/>
              </w:rPr>
            </w:pPr>
          </w:p>
        </w:tc>
      </w:tr>
    </w:tbl>
    <w:p w14:paraId="736BDEB9" w14:textId="77777777" w:rsidR="00F35C23" w:rsidRDefault="00F35C23" w:rsidP="001A5E94">
      <w:pPr>
        <w:pStyle w:val="AStyleStyle2-handbookFirstline0cm"/>
        <w:tabs>
          <w:tab w:val="left" w:pos="360"/>
        </w:tabs>
        <w:spacing w:before="240"/>
        <w:ind w:left="0"/>
        <w:rPr>
          <w:rFonts w:cs="Arial"/>
          <w:szCs w:val="22"/>
        </w:rPr>
      </w:pPr>
    </w:p>
    <w:p w14:paraId="06455207" w14:textId="77777777" w:rsidR="00930DD1" w:rsidRDefault="00930DD1" w:rsidP="001A5E94">
      <w:pPr>
        <w:pStyle w:val="AStyleStyle2-handbookFirstline0cm"/>
        <w:tabs>
          <w:tab w:val="left" w:pos="360"/>
        </w:tabs>
        <w:spacing w:before="240"/>
        <w:ind w:left="0"/>
        <w:rPr>
          <w:rFonts w:cs="Arial"/>
          <w:szCs w:val="22"/>
        </w:rPr>
      </w:pPr>
    </w:p>
    <w:p w14:paraId="43CB393C" w14:textId="77777777" w:rsidR="00930DD1" w:rsidRDefault="00930DD1" w:rsidP="001A5E94">
      <w:pPr>
        <w:pStyle w:val="AStyleStyle2-handbookFirstline0cm"/>
        <w:tabs>
          <w:tab w:val="left" w:pos="360"/>
        </w:tabs>
        <w:spacing w:before="240"/>
        <w:ind w:left="0"/>
        <w:rPr>
          <w:rFonts w:cs="Arial"/>
          <w:szCs w:val="22"/>
        </w:rPr>
      </w:pPr>
    </w:p>
    <w:p w14:paraId="7BAE6EDB" w14:textId="77777777" w:rsidR="00930DD1" w:rsidRDefault="00930DD1" w:rsidP="001A5E94">
      <w:pPr>
        <w:pStyle w:val="AStyleStyle2-handbookFirstline0cm"/>
        <w:tabs>
          <w:tab w:val="left" w:pos="360"/>
        </w:tabs>
        <w:spacing w:before="240"/>
        <w:ind w:left="0"/>
        <w:rPr>
          <w:rFonts w:cs="Arial"/>
          <w:szCs w:val="22"/>
        </w:rPr>
      </w:pPr>
    </w:p>
    <w:p w14:paraId="3CFC75CB" w14:textId="77777777" w:rsidR="00930DD1" w:rsidRDefault="00930DD1" w:rsidP="001A5E94">
      <w:pPr>
        <w:pStyle w:val="AStyleStyle2-handbookFirstline0cm"/>
        <w:tabs>
          <w:tab w:val="left" w:pos="360"/>
        </w:tabs>
        <w:spacing w:before="240"/>
        <w:ind w:left="0"/>
        <w:rPr>
          <w:rFonts w:cs="Arial"/>
          <w:szCs w:val="22"/>
        </w:rPr>
      </w:pPr>
    </w:p>
    <w:p w14:paraId="7298DDDB" w14:textId="77777777" w:rsidR="00930DD1" w:rsidRDefault="00930DD1" w:rsidP="001A5E94">
      <w:pPr>
        <w:pStyle w:val="AStyleStyle2-handbookFirstline0cm"/>
        <w:tabs>
          <w:tab w:val="left" w:pos="360"/>
        </w:tabs>
        <w:spacing w:before="240"/>
        <w:ind w:left="0"/>
        <w:rPr>
          <w:rFonts w:cs="Arial"/>
          <w:szCs w:val="22"/>
        </w:rPr>
      </w:pPr>
    </w:p>
    <w:p w14:paraId="7DECD4A3" w14:textId="77777777" w:rsidR="00930DD1" w:rsidRDefault="00930DD1" w:rsidP="001A5E94">
      <w:pPr>
        <w:pStyle w:val="AStyleStyle2-handbookFirstline0cm"/>
        <w:tabs>
          <w:tab w:val="left" w:pos="360"/>
        </w:tabs>
        <w:spacing w:before="240"/>
        <w:ind w:left="0"/>
        <w:rPr>
          <w:rFonts w:cs="Arial"/>
          <w:szCs w:val="22"/>
        </w:rPr>
      </w:pPr>
    </w:p>
    <w:p w14:paraId="6A3A1D87" w14:textId="77777777" w:rsidR="00930DD1" w:rsidRDefault="00930DD1" w:rsidP="001A5E94">
      <w:pPr>
        <w:pStyle w:val="AStyleStyle2-handbookFirstline0cm"/>
        <w:tabs>
          <w:tab w:val="left" w:pos="360"/>
        </w:tabs>
        <w:spacing w:before="240"/>
        <w:ind w:left="0"/>
        <w:rPr>
          <w:rFonts w:cs="Arial"/>
          <w:szCs w:val="22"/>
        </w:rPr>
      </w:pPr>
    </w:p>
    <w:p w14:paraId="55C0EFDC" w14:textId="77777777" w:rsidR="00930DD1" w:rsidRDefault="00930DD1" w:rsidP="001A5E94">
      <w:pPr>
        <w:pStyle w:val="AStyleStyle2-handbookFirstline0cm"/>
        <w:tabs>
          <w:tab w:val="left" w:pos="360"/>
        </w:tabs>
        <w:spacing w:before="240"/>
        <w:ind w:left="0"/>
        <w:rPr>
          <w:rFonts w:cs="Arial"/>
          <w:szCs w:val="22"/>
        </w:rPr>
      </w:pPr>
    </w:p>
    <w:p w14:paraId="5F560C68" w14:textId="77777777" w:rsidR="00930DD1" w:rsidRDefault="00930DD1" w:rsidP="001A5E94">
      <w:pPr>
        <w:pStyle w:val="AStyleStyle2-handbookFirstline0cm"/>
        <w:tabs>
          <w:tab w:val="left" w:pos="360"/>
        </w:tabs>
        <w:spacing w:before="240"/>
        <w:ind w:left="0"/>
        <w:rPr>
          <w:rFonts w:cs="Arial"/>
          <w:szCs w:val="22"/>
        </w:rPr>
      </w:pPr>
    </w:p>
    <w:p w14:paraId="0213A7CD" w14:textId="77777777" w:rsidR="00930DD1" w:rsidRDefault="00930DD1" w:rsidP="001A5E94">
      <w:pPr>
        <w:pStyle w:val="AStyleStyle2-handbookFirstline0cm"/>
        <w:tabs>
          <w:tab w:val="left" w:pos="360"/>
        </w:tabs>
        <w:spacing w:before="240"/>
        <w:ind w:left="0"/>
        <w:rPr>
          <w:rFonts w:cs="Arial"/>
          <w:szCs w:val="22"/>
        </w:rPr>
      </w:pPr>
    </w:p>
    <w:p w14:paraId="27505F6F" w14:textId="77777777" w:rsidR="00930DD1" w:rsidRDefault="00930DD1" w:rsidP="001A5E94">
      <w:pPr>
        <w:pStyle w:val="AStyleStyle2-handbookFirstline0cm"/>
        <w:tabs>
          <w:tab w:val="left" w:pos="360"/>
        </w:tabs>
        <w:spacing w:before="240"/>
        <w:ind w:left="0"/>
        <w:rPr>
          <w:rFonts w:cs="Arial"/>
          <w:szCs w:val="22"/>
        </w:rPr>
      </w:pPr>
    </w:p>
    <w:p w14:paraId="680A7B79" w14:textId="77777777" w:rsidR="00930DD1" w:rsidRDefault="00930DD1" w:rsidP="001A5E94">
      <w:pPr>
        <w:pStyle w:val="AStyleStyle2-handbookFirstline0cm"/>
        <w:tabs>
          <w:tab w:val="left" w:pos="360"/>
        </w:tabs>
        <w:spacing w:before="240"/>
        <w:ind w:left="0"/>
        <w:rPr>
          <w:rFonts w:cs="Arial"/>
          <w:szCs w:val="22"/>
        </w:rPr>
      </w:pPr>
    </w:p>
    <w:p w14:paraId="45B74C3B" w14:textId="77777777" w:rsidR="00930DD1" w:rsidRDefault="00930DD1" w:rsidP="001A5E94">
      <w:pPr>
        <w:pStyle w:val="AStyleStyle2-handbookFirstline0cm"/>
        <w:tabs>
          <w:tab w:val="left" w:pos="360"/>
        </w:tabs>
        <w:spacing w:before="240"/>
        <w:ind w:left="0"/>
        <w:rPr>
          <w:rFonts w:cs="Arial"/>
          <w:szCs w:val="22"/>
        </w:rPr>
      </w:pPr>
    </w:p>
    <w:p w14:paraId="6F593BAF" w14:textId="77777777" w:rsidR="00930DD1" w:rsidRDefault="00930DD1" w:rsidP="001A5E94">
      <w:pPr>
        <w:pStyle w:val="AStyleStyle2-handbookFirstline0cm"/>
        <w:tabs>
          <w:tab w:val="left" w:pos="360"/>
        </w:tabs>
        <w:spacing w:before="240"/>
        <w:ind w:left="0"/>
        <w:rPr>
          <w:rFonts w:cs="Arial"/>
          <w:szCs w:val="22"/>
        </w:rPr>
      </w:pPr>
    </w:p>
    <w:p w14:paraId="1BA18183" w14:textId="77777777" w:rsidR="00930DD1" w:rsidRDefault="00930DD1" w:rsidP="001A5E94">
      <w:pPr>
        <w:pStyle w:val="AStyleStyle2-handbookFirstline0cm"/>
        <w:tabs>
          <w:tab w:val="left" w:pos="360"/>
        </w:tabs>
        <w:spacing w:before="240"/>
        <w:ind w:left="0"/>
        <w:rPr>
          <w:rFonts w:cs="Arial"/>
          <w:szCs w:val="22"/>
        </w:rPr>
      </w:pPr>
    </w:p>
    <w:p w14:paraId="6F7A67B7" w14:textId="77777777" w:rsidR="00930DD1" w:rsidRDefault="00930DD1" w:rsidP="001A5E94">
      <w:pPr>
        <w:pStyle w:val="AStyleStyle2-handbookFirstline0cm"/>
        <w:tabs>
          <w:tab w:val="left" w:pos="360"/>
        </w:tabs>
        <w:spacing w:before="240"/>
        <w:ind w:left="0"/>
        <w:rPr>
          <w:rFonts w:cs="Arial"/>
          <w:szCs w:val="22"/>
        </w:rPr>
      </w:pPr>
    </w:p>
    <w:p w14:paraId="3654CE49" w14:textId="77777777" w:rsidR="00930DD1" w:rsidRDefault="00930DD1" w:rsidP="001A5E94">
      <w:pPr>
        <w:pStyle w:val="AStyleStyle2-handbookFirstline0cm"/>
        <w:tabs>
          <w:tab w:val="left" w:pos="360"/>
        </w:tabs>
        <w:spacing w:before="240"/>
        <w:ind w:left="0"/>
        <w:rPr>
          <w:rFonts w:cs="Arial"/>
          <w:szCs w:val="22"/>
        </w:rPr>
      </w:pPr>
    </w:p>
    <w:p w14:paraId="70D9E16E" w14:textId="77777777" w:rsidR="00930DD1" w:rsidRDefault="00930DD1" w:rsidP="001A5E94">
      <w:pPr>
        <w:pStyle w:val="AStyleStyle2-handbookFirstline0cm"/>
        <w:tabs>
          <w:tab w:val="left" w:pos="360"/>
        </w:tabs>
        <w:spacing w:before="240"/>
        <w:ind w:left="0"/>
        <w:rPr>
          <w:rFonts w:cs="Arial"/>
          <w:szCs w:val="22"/>
        </w:rPr>
      </w:pPr>
    </w:p>
    <w:p w14:paraId="2615C369" w14:textId="77777777" w:rsidR="00930DD1" w:rsidRDefault="00930DD1" w:rsidP="001A5E94">
      <w:pPr>
        <w:pStyle w:val="AStyleStyle2-handbookFirstline0cm"/>
        <w:tabs>
          <w:tab w:val="left" w:pos="360"/>
        </w:tabs>
        <w:spacing w:before="240"/>
        <w:ind w:left="0"/>
        <w:rPr>
          <w:rFonts w:cs="Arial"/>
          <w:szCs w:val="22"/>
        </w:rPr>
      </w:pPr>
    </w:p>
    <w:p w14:paraId="07C11697" w14:textId="77777777" w:rsidR="00930DD1" w:rsidRDefault="00930DD1" w:rsidP="00930DD1">
      <w:pPr>
        <w:pStyle w:val="NormalWeb"/>
        <w:rPr>
          <w:color w:val="000000"/>
          <w:sz w:val="27"/>
          <w:szCs w:val="27"/>
        </w:rPr>
      </w:pPr>
    </w:p>
    <w:p w14:paraId="08C4F66C" w14:textId="394E312B" w:rsidR="00930DD1" w:rsidRDefault="00930DD1" w:rsidP="00930DD1">
      <w:pPr>
        <w:pStyle w:val="NormalWeb"/>
        <w:rPr>
          <w:color w:val="000000"/>
          <w:sz w:val="27"/>
          <w:szCs w:val="27"/>
        </w:rPr>
      </w:pPr>
      <w:r>
        <w:rPr>
          <w:color w:val="000000"/>
          <w:sz w:val="27"/>
          <w:szCs w:val="27"/>
        </w:rPr>
        <w:t>A formalised “Shared Care Agreement” (SCA) involves collaboration between GPs, specialists and the patient or patient’s representative. GP practices are not contractually requirement to undertake Shared Care Agreements. When working with Private providers and within the NHS, Shared Care may only be undertaken when all parties are happy with the provisions of the agreement.</w:t>
      </w:r>
    </w:p>
    <w:p w14:paraId="072E5578" w14:textId="77777777" w:rsidR="00930DD1" w:rsidRDefault="00930DD1" w:rsidP="00930DD1">
      <w:pPr>
        <w:pStyle w:val="NormalWeb"/>
        <w:rPr>
          <w:color w:val="000000"/>
          <w:sz w:val="27"/>
          <w:szCs w:val="27"/>
        </w:rPr>
      </w:pPr>
      <w:r>
        <w:rPr>
          <w:color w:val="000000"/>
          <w:sz w:val="27"/>
          <w:szCs w:val="27"/>
        </w:rPr>
        <w:t xml:space="preserve">Where needed with a signed agreement, CMMC offers SCAs with NHS providers. </w:t>
      </w:r>
    </w:p>
    <w:p w14:paraId="179193F8" w14:textId="77777777" w:rsidR="00930DD1" w:rsidRDefault="00930DD1" w:rsidP="00930DD1">
      <w:pPr>
        <w:pStyle w:val="NormalWeb"/>
        <w:rPr>
          <w:color w:val="000000"/>
          <w:sz w:val="27"/>
          <w:szCs w:val="27"/>
        </w:rPr>
      </w:pPr>
      <w:r>
        <w:rPr>
          <w:color w:val="000000"/>
          <w:sz w:val="27"/>
          <w:szCs w:val="27"/>
        </w:rPr>
        <w:t>Within the context of Private Providers, CMMC may agree to a SCA, under the premise that the following points are met:</w:t>
      </w:r>
    </w:p>
    <w:p w14:paraId="46E64D7C" w14:textId="77777777" w:rsidR="00930DD1" w:rsidRDefault="00930DD1" w:rsidP="00930DD1">
      <w:pPr>
        <w:pStyle w:val="NormalWeb"/>
        <w:numPr>
          <w:ilvl w:val="0"/>
          <w:numId w:val="16"/>
        </w:numPr>
        <w:rPr>
          <w:color w:val="000000"/>
          <w:sz w:val="27"/>
          <w:szCs w:val="27"/>
        </w:rPr>
      </w:pPr>
      <w:r>
        <w:rPr>
          <w:color w:val="000000"/>
          <w:sz w:val="27"/>
          <w:szCs w:val="27"/>
        </w:rPr>
        <w:t xml:space="preserve">NHS England and / or the ICB has published relevant guidance on the responsibility for prescribing between the GP and the specialist. </w:t>
      </w:r>
    </w:p>
    <w:p w14:paraId="0C377753" w14:textId="77777777" w:rsidR="00930DD1" w:rsidRDefault="00930DD1" w:rsidP="00930DD1">
      <w:pPr>
        <w:pStyle w:val="NormalWeb"/>
        <w:numPr>
          <w:ilvl w:val="0"/>
          <w:numId w:val="16"/>
        </w:numPr>
        <w:rPr>
          <w:color w:val="000000"/>
          <w:sz w:val="27"/>
          <w:szCs w:val="27"/>
        </w:rPr>
      </w:pPr>
      <w:r>
        <w:rPr>
          <w:color w:val="000000"/>
          <w:sz w:val="27"/>
          <w:szCs w:val="27"/>
        </w:rPr>
        <w:t>A GP must feel clinically confident and competent in managing the patient's condition to participate in a shared care agreement.</w:t>
      </w:r>
    </w:p>
    <w:p w14:paraId="46E9667F" w14:textId="77777777" w:rsidR="00930DD1" w:rsidRPr="00560EFA" w:rsidRDefault="00930DD1" w:rsidP="00930DD1">
      <w:pPr>
        <w:pStyle w:val="NormalWeb"/>
        <w:numPr>
          <w:ilvl w:val="0"/>
          <w:numId w:val="16"/>
        </w:numPr>
        <w:rPr>
          <w:color w:val="000000"/>
          <w:sz w:val="27"/>
          <w:szCs w:val="27"/>
        </w:rPr>
      </w:pPr>
      <w:r>
        <w:rPr>
          <w:color w:val="000000"/>
          <w:sz w:val="27"/>
          <w:szCs w:val="27"/>
        </w:rPr>
        <w:t xml:space="preserve">Shared care arrangements are voluntary, not compulsory. CMMC reserves the right to decline shared care agreement requests based on clinical and capacity grounds. </w:t>
      </w:r>
    </w:p>
    <w:p w14:paraId="030DEA96" w14:textId="77777777" w:rsidR="00930DD1" w:rsidRDefault="00930DD1" w:rsidP="00930DD1">
      <w:pPr>
        <w:pStyle w:val="NormalWeb"/>
        <w:rPr>
          <w:color w:val="000000"/>
          <w:sz w:val="27"/>
          <w:szCs w:val="27"/>
        </w:rPr>
      </w:pPr>
      <w:r>
        <w:rPr>
          <w:color w:val="000000"/>
          <w:sz w:val="27"/>
          <w:szCs w:val="27"/>
        </w:rPr>
        <w:t>In order for a Shared Care Agreement to be undertaken at CMMC, the following criteria will be met:</w:t>
      </w:r>
    </w:p>
    <w:p w14:paraId="47ED24CE" w14:textId="77777777" w:rsidR="00930DD1" w:rsidRDefault="00930DD1" w:rsidP="00930DD1">
      <w:pPr>
        <w:pStyle w:val="NormalWeb"/>
        <w:rPr>
          <w:color w:val="000000"/>
          <w:sz w:val="27"/>
          <w:szCs w:val="27"/>
        </w:rPr>
      </w:pPr>
      <w:r>
        <w:rPr>
          <w:color w:val="000000"/>
          <w:sz w:val="27"/>
          <w:szCs w:val="27"/>
        </w:rPr>
        <w:t xml:space="preserve">1. </w:t>
      </w:r>
      <w:r w:rsidRPr="003407FE">
        <w:rPr>
          <w:b/>
          <w:bCs/>
          <w:color w:val="000000"/>
          <w:sz w:val="27"/>
          <w:szCs w:val="27"/>
        </w:rPr>
        <w:t>The Shared Care Agreement should be a written policy,</w:t>
      </w:r>
      <w:r>
        <w:rPr>
          <w:color w:val="000000"/>
          <w:sz w:val="27"/>
          <w:szCs w:val="27"/>
        </w:rPr>
        <w:t xml:space="preserve"> which reflects the standards of an NHS shared care agreement for the same treatment or condition.</w:t>
      </w:r>
    </w:p>
    <w:p w14:paraId="6FA9C209" w14:textId="77777777" w:rsidR="00930DD1" w:rsidRDefault="00930DD1" w:rsidP="00930DD1">
      <w:pPr>
        <w:pStyle w:val="NormalWeb"/>
        <w:rPr>
          <w:color w:val="000000"/>
          <w:sz w:val="27"/>
          <w:szCs w:val="27"/>
        </w:rPr>
      </w:pPr>
      <w:r>
        <w:rPr>
          <w:color w:val="000000"/>
          <w:sz w:val="27"/>
          <w:szCs w:val="27"/>
        </w:rPr>
        <w:t xml:space="preserve">2. It will explicitly state the roles and responsibilities of all parties including the specialist, the GP and the patient or patient’s representative. </w:t>
      </w:r>
      <w:r w:rsidRPr="003407FE">
        <w:rPr>
          <w:b/>
          <w:bCs/>
          <w:color w:val="000000"/>
          <w:sz w:val="27"/>
          <w:szCs w:val="27"/>
        </w:rPr>
        <w:t>All parties must formally agree to adhere to the conditions of the agreement.</w:t>
      </w:r>
      <w:r>
        <w:rPr>
          <w:color w:val="000000"/>
          <w:sz w:val="27"/>
          <w:szCs w:val="27"/>
        </w:rPr>
        <w:t xml:space="preserve"> This includes the patient remaining under the care of the private specialist for reviews (with the costs entailed) until either they no longer require the medication or treatment covered by the shared care agreement or their care is met by NHS services.</w:t>
      </w:r>
    </w:p>
    <w:p w14:paraId="5E85C3E3" w14:textId="77777777" w:rsidR="00930DD1" w:rsidRDefault="00930DD1" w:rsidP="00930DD1">
      <w:pPr>
        <w:pStyle w:val="NormalWeb"/>
        <w:rPr>
          <w:color w:val="000000"/>
          <w:sz w:val="27"/>
          <w:szCs w:val="27"/>
        </w:rPr>
      </w:pPr>
      <w:r>
        <w:rPr>
          <w:color w:val="000000"/>
          <w:sz w:val="27"/>
          <w:szCs w:val="27"/>
        </w:rPr>
        <w:t>4. If one or more parties does not adhere to the conditions of the Shared Care Agreement, it becomes invalid, and CMMC may cease to issue prescriptions.</w:t>
      </w:r>
    </w:p>
    <w:p w14:paraId="4CB8B59A" w14:textId="77777777" w:rsidR="00930DD1" w:rsidRDefault="00930DD1" w:rsidP="00930DD1">
      <w:pPr>
        <w:pStyle w:val="NormalWeb"/>
        <w:rPr>
          <w:color w:val="000000"/>
          <w:sz w:val="27"/>
          <w:szCs w:val="27"/>
        </w:rPr>
      </w:pPr>
    </w:p>
    <w:p w14:paraId="44A98841" w14:textId="77777777" w:rsidR="00930DD1" w:rsidRDefault="00930DD1" w:rsidP="00930DD1">
      <w:pPr>
        <w:pStyle w:val="NormalWeb"/>
        <w:rPr>
          <w:color w:val="000000"/>
          <w:sz w:val="27"/>
          <w:szCs w:val="27"/>
        </w:rPr>
      </w:pPr>
    </w:p>
    <w:p w14:paraId="651BC27D" w14:textId="158C5BC6" w:rsidR="00930DD1" w:rsidRDefault="00930DD1" w:rsidP="00930DD1">
      <w:pPr>
        <w:pStyle w:val="NormalWeb"/>
        <w:rPr>
          <w:color w:val="000000"/>
          <w:sz w:val="27"/>
          <w:szCs w:val="27"/>
        </w:rPr>
      </w:pPr>
      <w:r>
        <w:rPr>
          <w:color w:val="000000"/>
          <w:sz w:val="27"/>
          <w:szCs w:val="27"/>
        </w:rPr>
        <w:t>CMMC – Cleobury Mortimer Medical Centre</w:t>
      </w:r>
    </w:p>
    <w:p w14:paraId="750124AD" w14:textId="77777777" w:rsidR="00930DD1" w:rsidRDefault="00930DD1" w:rsidP="00930DD1">
      <w:pPr>
        <w:pStyle w:val="NormalWeb"/>
        <w:rPr>
          <w:color w:val="000000"/>
          <w:sz w:val="27"/>
          <w:szCs w:val="27"/>
        </w:rPr>
      </w:pPr>
      <w:r>
        <w:rPr>
          <w:color w:val="000000"/>
          <w:sz w:val="27"/>
          <w:szCs w:val="27"/>
        </w:rPr>
        <w:t>SCA – Shared care Agreement</w:t>
      </w:r>
    </w:p>
    <w:p w14:paraId="47E8F6EF" w14:textId="77777777" w:rsidR="00930DD1" w:rsidRPr="003407FE" w:rsidRDefault="00930DD1" w:rsidP="00930DD1">
      <w:pPr>
        <w:pStyle w:val="NormalWeb"/>
        <w:rPr>
          <w:color w:val="000000"/>
          <w:sz w:val="27"/>
          <w:szCs w:val="27"/>
        </w:rPr>
      </w:pPr>
      <w:r>
        <w:rPr>
          <w:color w:val="000000"/>
          <w:sz w:val="27"/>
          <w:szCs w:val="27"/>
        </w:rPr>
        <w:t>NHSE - National Health Service of England</w:t>
      </w:r>
    </w:p>
    <w:p w14:paraId="1FCF0A33" w14:textId="77777777" w:rsidR="00930DD1" w:rsidRPr="00F21A4C" w:rsidRDefault="00930DD1" w:rsidP="001A5E94">
      <w:pPr>
        <w:pStyle w:val="AStyleStyle2-handbookFirstline0cm"/>
        <w:tabs>
          <w:tab w:val="left" w:pos="360"/>
        </w:tabs>
        <w:spacing w:before="240"/>
        <w:ind w:left="0"/>
        <w:rPr>
          <w:rFonts w:cs="Arial"/>
          <w:szCs w:val="22"/>
        </w:rPr>
      </w:pPr>
    </w:p>
    <w:sectPr w:rsidR="00930DD1" w:rsidRPr="00F21A4C" w:rsidSect="009201CD">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F4827" w14:textId="77777777" w:rsidR="009201CD" w:rsidRDefault="009201CD" w:rsidP="00D85E4D">
      <w:r>
        <w:separator/>
      </w:r>
    </w:p>
  </w:endnote>
  <w:endnote w:type="continuationSeparator" w:id="0">
    <w:p w14:paraId="7D0E76BB" w14:textId="77777777" w:rsidR="009201CD" w:rsidRDefault="009201CD" w:rsidP="00D85E4D">
      <w:r>
        <w:continuationSeparator/>
      </w:r>
    </w:p>
  </w:endnote>
  <w:endnote w:type="continuationNotice" w:id="1">
    <w:p w14:paraId="78C8B3B3" w14:textId="77777777" w:rsidR="009201CD" w:rsidRDefault="009201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E839" w14:textId="7FB0AA82" w:rsidR="005D1DB3" w:rsidRDefault="005D1DB3">
    <w:pPr>
      <w:pStyle w:val="Footer"/>
      <w:pBdr>
        <w:top w:val="single" w:sz="4" w:space="1" w:color="D9D9D9" w:themeColor="background1" w:themeShade="D9"/>
      </w:pBdr>
      <w:jc w:val="right"/>
    </w:pPr>
  </w:p>
  <w:p w14:paraId="143EDBEE" w14:textId="0CD57EFD" w:rsidR="005D1DB3" w:rsidRDefault="005D1DB3" w:rsidP="003E72F8">
    <w:pPr>
      <w:pStyle w:val="Footer"/>
      <w:rPr>
        <w:rFonts w:ascii="Arial" w:hAnsi="Arial" w:cs="Arial"/>
        <w:sz w:val="16"/>
        <w:szCs w:val="16"/>
      </w:rPr>
    </w:pPr>
    <w:r>
      <w:rPr>
        <w:rFonts w:ascii="Arial" w:hAnsi="Arial" w:cs="Arial"/>
        <w:sz w:val="16"/>
        <w:szCs w:val="16"/>
      </w:rPr>
      <w:tab/>
    </w:r>
  </w:p>
  <w:p w14:paraId="54A9CDA4" w14:textId="0953779B" w:rsidR="005D1DB3" w:rsidRPr="00A721EE" w:rsidRDefault="005D1DB3"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541ED3">
      <w:rPr>
        <w:rFonts w:ascii="Arial" w:hAnsi="Arial" w:cs="Arial"/>
        <w:noProof/>
      </w:rPr>
      <w:t>9</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409B4" w14:textId="77777777" w:rsidR="009201CD" w:rsidRDefault="009201CD" w:rsidP="00D85E4D">
      <w:r>
        <w:separator/>
      </w:r>
    </w:p>
  </w:footnote>
  <w:footnote w:type="continuationSeparator" w:id="0">
    <w:p w14:paraId="73022210" w14:textId="77777777" w:rsidR="009201CD" w:rsidRDefault="009201CD" w:rsidP="00D85E4D">
      <w:r>
        <w:continuationSeparator/>
      </w:r>
    </w:p>
  </w:footnote>
  <w:footnote w:type="continuationNotice" w:id="1">
    <w:p w14:paraId="76B2A9A5" w14:textId="77777777" w:rsidR="009201CD" w:rsidRDefault="009201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FD58" w14:textId="22C63D2C" w:rsidR="005D1DB3" w:rsidRPr="00A126E3" w:rsidRDefault="005D1DB3" w:rsidP="00A126E3">
    <w:pPr>
      <w:pStyle w:val="Header"/>
      <w:jc w:val="center"/>
      <w:rPr>
        <w:sz w:val="40"/>
        <w:szCs w:val="40"/>
        <w:u w:val="single"/>
      </w:rPr>
    </w:pPr>
  </w:p>
  <w:p w14:paraId="500998FC" w14:textId="1B200525" w:rsidR="005D1DB3" w:rsidRPr="00A126E3" w:rsidRDefault="00A126E3" w:rsidP="00A126E3">
    <w:pPr>
      <w:pStyle w:val="Header"/>
      <w:jc w:val="center"/>
      <w:rPr>
        <w:sz w:val="40"/>
        <w:szCs w:val="40"/>
        <w:u w:val="single"/>
      </w:rPr>
    </w:pPr>
    <w:r w:rsidRPr="00A126E3">
      <w:rPr>
        <w:sz w:val="40"/>
        <w:szCs w:val="40"/>
        <w:u w:val="single"/>
      </w:rPr>
      <w:t>CLEOBURY MORTIMER MEDICAL CENTRE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C35"/>
    <w:multiLevelType w:val="hybridMultilevel"/>
    <w:tmpl w:val="597EBFE4"/>
    <w:lvl w:ilvl="0" w:tplc="08090005">
      <w:start w:val="1"/>
      <w:numFmt w:val="bullet"/>
      <w:lvlText w:val=""/>
      <w:lvlJc w:val="left"/>
      <w:pPr>
        <w:tabs>
          <w:tab w:val="num" w:pos="1620"/>
        </w:tabs>
        <w:ind w:left="1620" w:hanging="360"/>
      </w:pPr>
      <w:rPr>
        <w:rFonts w:ascii="Wingdings" w:hAnsi="Wingdings"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 w15:restartNumberingAfterBreak="0">
    <w:nsid w:val="0CA42653"/>
    <w:multiLevelType w:val="hybridMultilevel"/>
    <w:tmpl w:val="25AA76AE"/>
    <w:lvl w:ilvl="0" w:tplc="08090005">
      <w:start w:val="1"/>
      <w:numFmt w:val="bullet"/>
      <w:lvlText w:val=""/>
      <w:lvlJc w:val="left"/>
      <w:pPr>
        <w:tabs>
          <w:tab w:val="num" w:pos="1622"/>
        </w:tabs>
        <w:ind w:left="1622" w:hanging="360"/>
      </w:pPr>
      <w:rPr>
        <w:rFonts w:ascii="Wingdings" w:hAnsi="Wingdings" w:hint="default"/>
      </w:rPr>
    </w:lvl>
    <w:lvl w:ilvl="1" w:tplc="08090003" w:tentative="1">
      <w:start w:val="1"/>
      <w:numFmt w:val="bullet"/>
      <w:lvlText w:val="o"/>
      <w:lvlJc w:val="left"/>
      <w:pPr>
        <w:tabs>
          <w:tab w:val="num" w:pos="2342"/>
        </w:tabs>
        <w:ind w:left="2342" w:hanging="360"/>
      </w:pPr>
      <w:rPr>
        <w:rFonts w:ascii="Courier New" w:hAnsi="Courier New" w:cs="Courier New" w:hint="default"/>
      </w:rPr>
    </w:lvl>
    <w:lvl w:ilvl="2" w:tplc="08090005" w:tentative="1">
      <w:start w:val="1"/>
      <w:numFmt w:val="bullet"/>
      <w:lvlText w:val=""/>
      <w:lvlJc w:val="left"/>
      <w:pPr>
        <w:tabs>
          <w:tab w:val="num" w:pos="3062"/>
        </w:tabs>
        <w:ind w:left="3062" w:hanging="360"/>
      </w:pPr>
      <w:rPr>
        <w:rFonts w:ascii="Wingdings" w:hAnsi="Wingdings" w:hint="default"/>
      </w:rPr>
    </w:lvl>
    <w:lvl w:ilvl="3" w:tplc="08090001" w:tentative="1">
      <w:start w:val="1"/>
      <w:numFmt w:val="bullet"/>
      <w:lvlText w:val=""/>
      <w:lvlJc w:val="left"/>
      <w:pPr>
        <w:tabs>
          <w:tab w:val="num" w:pos="3782"/>
        </w:tabs>
        <w:ind w:left="3782" w:hanging="360"/>
      </w:pPr>
      <w:rPr>
        <w:rFonts w:ascii="Symbol" w:hAnsi="Symbol" w:hint="default"/>
      </w:rPr>
    </w:lvl>
    <w:lvl w:ilvl="4" w:tplc="08090003" w:tentative="1">
      <w:start w:val="1"/>
      <w:numFmt w:val="bullet"/>
      <w:lvlText w:val="o"/>
      <w:lvlJc w:val="left"/>
      <w:pPr>
        <w:tabs>
          <w:tab w:val="num" w:pos="4502"/>
        </w:tabs>
        <w:ind w:left="4502" w:hanging="360"/>
      </w:pPr>
      <w:rPr>
        <w:rFonts w:ascii="Courier New" w:hAnsi="Courier New" w:cs="Courier New" w:hint="default"/>
      </w:rPr>
    </w:lvl>
    <w:lvl w:ilvl="5" w:tplc="08090005" w:tentative="1">
      <w:start w:val="1"/>
      <w:numFmt w:val="bullet"/>
      <w:lvlText w:val=""/>
      <w:lvlJc w:val="left"/>
      <w:pPr>
        <w:tabs>
          <w:tab w:val="num" w:pos="5222"/>
        </w:tabs>
        <w:ind w:left="5222" w:hanging="360"/>
      </w:pPr>
      <w:rPr>
        <w:rFonts w:ascii="Wingdings" w:hAnsi="Wingdings" w:hint="default"/>
      </w:rPr>
    </w:lvl>
    <w:lvl w:ilvl="6" w:tplc="08090001" w:tentative="1">
      <w:start w:val="1"/>
      <w:numFmt w:val="bullet"/>
      <w:lvlText w:val=""/>
      <w:lvlJc w:val="left"/>
      <w:pPr>
        <w:tabs>
          <w:tab w:val="num" w:pos="5942"/>
        </w:tabs>
        <w:ind w:left="5942" w:hanging="360"/>
      </w:pPr>
      <w:rPr>
        <w:rFonts w:ascii="Symbol" w:hAnsi="Symbol" w:hint="default"/>
      </w:rPr>
    </w:lvl>
    <w:lvl w:ilvl="7" w:tplc="08090003" w:tentative="1">
      <w:start w:val="1"/>
      <w:numFmt w:val="bullet"/>
      <w:lvlText w:val="o"/>
      <w:lvlJc w:val="left"/>
      <w:pPr>
        <w:tabs>
          <w:tab w:val="num" w:pos="6662"/>
        </w:tabs>
        <w:ind w:left="6662" w:hanging="360"/>
      </w:pPr>
      <w:rPr>
        <w:rFonts w:ascii="Courier New" w:hAnsi="Courier New" w:cs="Courier New" w:hint="default"/>
      </w:rPr>
    </w:lvl>
    <w:lvl w:ilvl="8" w:tplc="08090005" w:tentative="1">
      <w:start w:val="1"/>
      <w:numFmt w:val="bullet"/>
      <w:lvlText w:val=""/>
      <w:lvlJc w:val="left"/>
      <w:pPr>
        <w:tabs>
          <w:tab w:val="num" w:pos="7382"/>
        </w:tabs>
        <w:ind w:left="7382" w:hanging="360"/>
      </w:pPr>
      <w:rPr>
        <w:rFonts w:ascii="Wingdings" w:hAnsi="Wingdings" w:hint="default"/>
      </w:rPr>
    </w:lvl>
  </w:abstractNum>
  <w:abstractNum w:abstractNumId="2" w15:restartNumberingAfterBreak="0">
    <w:nsid w:val="142A35E4"/>
    <w:multiLevelType w:val="hybridMultilevel"/>
    <w:tmpl w:val="3F1472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EDB7C16"/>
    <w:multiLevelType w:val="hybridMultilevel"/>
    <w:tmpl w:val="3CAE3814"/>
    <w:lvl w:ilvl="0" w:tplc="E6DC0648">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8E46A20"/>
    <w:multiLevelType w:val="hybridMultilevel"/>
    <w:tmpl w:val="21B0C3A2"/>
    <w:lvl w:ilvl="0" w:tplc="08090005">
      <w:start w:val="1"/>
      <w:numFmt w:val="bullet"/>
      <w:lvlText w:val=""/>
      <w:lvlJc w:val="left"/>
      <w:pPr>
        <w:tabs>
          <w:tab w:val="num" w:pos="1620"/>
        </w:tabs>
        <w:ind w:left="1620" w:hanging="360"/>
      </w:pPr>
      <w:rPr>
        <w:rFonts w:ascii="Wingdings" w:hAnsi="Wingdings"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2B325013"/>
    <w:multiLevelType w:val="hybridMultilevel"/>
    <w:tmpl w:val="4F721B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8A64AC"/>
    <w:multiLevelType w:val="multilevel"/>
    <w:tmpl w:val="EE5CF71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7143B5A"/>
    <w:multiLevelType w:val="hybridMultilevel"/>
    <w:tmpl w:val="7CEAC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D45574"/>
    <w:multiLevelType w:val="hybridMultilevel"/>
    <w:tmpl w:val="2A845120"/>
    <w:lvl w:ilvl="0" w:tplc="08090005">
      <w:start w:val="1"/>
      <w:numFmt w:val="bullet"/>
      <w:lvlText w:val=""/>
      <w:lvlJc w:val="left"/>
      <w:pPr>
        <w:tabs>
          <w:tab w:val="num" w:pos="1620"/>
        </w:tabs>
        <w:ind w:left="1620" w:hanging="360"/>
      </w:pPr>
      <w:rPr>
        <w:rFonts w:ascii="Wingdings" w:hAnsi="Wingdings"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0" w15:restartNumberingAfterBreak="0">
    <w:nsid w:val="43974514"/>
    <w:multiLevelType w:val="hybridMultilevel"/>
    <w:tmpl w:val="995C0212"/>
    <w:lvl w:ilvl="0" w:tplc="08090005">
      <w:start w:val="1"/>
      <w:numFmt w:val="bullet"/>
      <w:lvlText w:val=""/>
      <w:lvlJc w:val="left"/>
      <w:pPr>
        <w:tabs>
          <w:tab w:val="num" w:pos="1620"/>
        </w:tabs>
        <w:ind w:left="1620" w:hanging="360"/>
      </w:pPr>
      <w:rPr>
        <w:rFonts w:ascii="Wingdings" w:hAnsi="Wingdings"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1" w15:restartNumberingAfterBreak="0">
    <w:nsid w:val="54DB208A"/>
    <w:multiLevelType w:val="hybridMultilevel"/>
    <w:tmpl w:val="5808B9C0"/>
    <w:lvl w:ilvl="0" w:tplc="B22E412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AE0A9E"/>
    <w:multiLevelType w:val="hybridMultilevel"/>
    <w:tmpl w:val="5E8CB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7201214"/>
    <w:multiLevelType w:val="hybridMultilevel"/>
    <w:tmpl w:val="727ED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3537989"/>
    <w:multiLevelType w:val="hybridMultilevel"/>
    <w:tmpl w:val="80ACE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CAB0F45"/>
    <w:multiLevelType w:val="hybridMultilevel"/>
    <w:tmpl w:val="D5746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8979659">
    <w:abstractNumId w:val="6"/>
  </w:num>
  <w:num w:numId="2" w16cid:durableId="1524247846">
    <w:abstractNumId w:val="3"/>
  </w:num>
  <w:num w:numId="3" w16cid:durableId="1149437865">
    <w:abstractNumId w:val="8"/>
  </w:num>
  <w:num w:numId="4" w16cid:durableId="573977802">
    <w:abstractNumId w:val="7"/>
  </w:num>
  <w:num w:numId="5" w16cid:durableId="240215729">
    <w:abstractNumId w:val="11"/>
  </w:num>
  <w:num w:numId="6" w16cid:durableId="843663724">
    <w:abstractNumId w:val="4"/>
  </w:num>
  <w:num w:numId="7" w16cid:durableId="1281181588">
    <w:abstractNumId w:val="0"/>
  </w:num>
  <w:num w:numId="8" w16cid:durableId="1186595357">
    <w:abstractNumId w:val="5"/>
  </w:num>
  <w:num w:numId="9" w16cid:durableId="140390271">
    <w:abstractNumId w:val="9"/>
  </w:num>
  <w:num w:numId="10" w16cid:durableId="167252790">
    <w:abstractNumId w:val="1"/>
  </w:num>
  <w:num w:numId="11" w16cid:durableId="356270658">
    <w:abstractNumId w:val="10"/>
  </w:num>
  <w:num w:numId="12" w16cid:durableId="344867577">
    <w:abstractNumId w:val="12"/>
  </w:num>
  <w:num w:numId="13" w16cid:durableId="1034767506">
    <w:abstractNumId w:val="13"/>
  </w:num>
  <w:num w:numId="14" w16cid:durableId="808741434">
    <w:abstractNumId w:val="14"/>
  </w:num>
  <w:num w:numId="15" w16cid:durableId="1199010817">
    <w:abstractNumId w:val="2"/>
  </w:num>
  <w:num w:numId="16" w16cid:durableId="13446226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096"/>
    <w:rsid w:val="00001DBB"/>
    <w:rsid w:val="000461A8"/>
    <w:rsid w:val="00054E42"/>
    <w:rsid w:val="00073E46"/>
    <w:rsid w:val="00076119"/>
    <w:rsid w:val="000858D5"/>
    <w:rsid w:val="00087549"/>
    <w:rsid w:val="00094747"/>
    <w:rsid w:val="00095F28"/>
    <w:rsid w:val="000C68B0"/>
    <w:rsid w:val="000C71AF"/>
    <w:rsid w:val="000D0020"/>
    <w:rsid w:val="000D1832"/>
    <w:rsid w:val="00111CF6"/>
    <w:rsid w:val="00114F28"/>
    <w:rsid w:val="00117494"/>
    <w:rsid w:val="0013698F"/>
    <w:rsid w:val="00177624"/>
    <w:rsid w:val="001A01D7"/>
    <w:rsid w:val="001A5E94"/>
    <w:rsid w:val="001A6862"/>
    <w:rsid w:val="001F51C5"/>
    <w:rsid w:val="001F58A7"/>
    <w:rsid w:val="00212277"/>
    <w:rsid w:val="0021415D"/>
    <w:rsid w:val="00221534"/>
    <w:rsid w:val="00227BB3"/>
    <w:rsid w:val="00245E3D"/>
    <w:rsid w:val="00255551"/>
    <w:rsid w:val="00280933"/>
    <w:rsid w:val="002A28FB"/>
    <w:rsid w:val="002A51E0"/>
    <w:rsid w:val="002B3DB5"/>
    <w:rsid w:val="002C5641"/>
    <w:rsid w:val="002C6527"/>
    <w:rsid w:val="002D4082"/>
    <w:rsid w:val="002D4D84"/>
    <w:rsid w:val="002E091D"/>
    <w:rsid w:val="00300347"/>
    <w:rsid w:val="003049E4"/>
    <w:rsid w:val="003108AD"/>
    <w:rsid w:val="003119D5"/>
    <w:rsid w:val="00343752"/>
    <w:rsid w:val="00357D85"/>
    <w:rsid w:val="003D7BC6"/>
    <w:rsid w:val="003E23B2"/>
    <w:rsid w:val="003E72F8"/>
    <w:rsid w:val="003F36B9"/>
    <w:rsid w:val="00402500"/>
    <w:rsid w:val="00414F14"/>
    <w:rsid w:val="00422A42"/>
    <w:rsid w:val="00441592"/>
    <w:rsid w:val="00444F27"/>
    <w:rsid w:val="00471FD1"/>
    <w:rsid w:val="00476354"/>
    <w:rsid w:val="00483661"/>
    <w:rsid w:val="004836CB"/>
    <w:rsid w:val="004874A8"/>
    <w:rsid w:val="004911CB"/>
    <w:rsid w:val="004F7AE7"/>
    <w:rsid w:val="0050686C"/>
    <w:rsid w:val="00541ED3"/>
    <w:rsid w:val="00574ADC"/>
    <w:rsid w:val="00590153"/>
    <w:rsid w:val="005A0DBE"/>
    <w:rsid w:val="005B605D"/>
    <w:rsid w:val="005C0233"/>
    <w:rsid w:val="005D1DB3"/>
    <w:rsid w:val="005E280C"/>
    <w:rsid w:val="00607B8F"/>
    <w:rsid w:val="00664374"/>
    <w:rsid w:val="00671E86"/>
    <w:rsid w:val="00674887"/>
    <w:rsid w:val="00675084"/>
    <w:rsid w:val="00677D3D"/>
    <w:rsid w:val="00682CAF"/>
    <w:rsid w:val="00686FCB"/>
    <w:rsid w:val="006A0CAC"/>
    <w:rsid w:val="006B490F"/>
    <w:rsid w:val="006B4A86"/>
    <w:rsid w:val="006B50EF"/>
    <w:rsid w:val="006E683C"/>
    <w:rsid w:val="006F4D8C"/>
    <w:rsid w:val="00723E11"/>
    <w:rsid w:val="007273CF"/>
    <w:rsid w:val="00740E18"/>
    <w:rsid w:val="007464D9"/>
    <w:rsid w:val="00747513"/>
    <w:rsid w:val="00760105"/>
    <w:rsid w:val="00783572"/>
    <w:rsid w:val="007B187E"/>
    <w:rsid w:val="007E7E29"/>
    <w:rsid w:val="007F4D2C"/>
    <w:rsid w:val="007F5829"/>
    <w:rsid w:val="008603AE"/>
    <w:rsid w:val="008939B1"/>
    <w:rsid w:val="00896912"/>
    <w:rsid w:val="00897DBB"/>
    <w:rsid w:val="008A36FF"/>
    <w:rsid w:val="008B3D99"/>
    <w:rsid w:val="008C70F5"/>
    <w:rsid w:val="008D5E2A"/>
    <w:rsid w:val="008F185C"/>
    <w:rsid w:val="009201CD"/>
    <w:rsid w:val="009275ED"/>
    <w:rsid w:val="00930DD1"/>
    <w:rsid w:val="00940EB7"/>
    <w:rsid w:val="0097612A"/>
    <w:rsid w:val="0098017F"/>
    <w:rsid w:val="009A4BC9"/>
    <w:rsid w:val="009A4CC2"/>
    <w:rsid w:val="009A5833"/>
    <w:rsid w:val="009B245D"/>
    <w:rsid w:val="009D3BBE"/>
    <w:rsid w:val="009F75EF"/>
    <w:rsid w:val="00A126E3"/>
    <w:rsid w:val="00A1621B"/>
    <w:rsid w:val="00A34CAB"/>
    <w:rsid w:val="00A3793F"/>
    <w:rsid w:val="00A4467E"/>
    <w:rsid w:val="00A46622"/>
    <w:rsid w:val="00A54DD3"/>
    <w:rsid w:val="00A721EE"/>
    <w:rsid w:val="00A77A43"/>
    <w:rsid w:val="00A8152A"/>
    <w:rsid w:val="00A97E8D"/>
    <w:rsid w:val="00AA37E6"/>
    <w:rsid w:val="00AA5548"/>
    <w:rsid w:val="00AB1922"/>
    <w:rsid w:val="00AB3844"/>
    <w:rsid w:val="00AD7352"/>
    <w:rsid w:val="00B2339A"/>
    <w:rsid w:val="00B30060"/>
    <w:rsid w:val="00B30D23"/>
    <w:rsid w:val="00B63760"/>
    <w:rsid w:val="00B64683"/>
    <w:rsid w:val="00B66A12"/>
    <w:rsid w:val="00BC12C7"/>
    <w:rsid w:val="00BE077B"/>
    <w:rsid w:val="00C037B7"/>
    <w:rsid w:val="00C052CB"/>
    <w:rsid w:val="00C10837"/>
    <w:rsid w:val="00C333D7"/>
    <w:rsid w:val="00C34CD9"/>
    <w:rsid w:val="00C367E1"/>
    <w:rsid w:val="00C54E89"/>
    <w:rsid w:val="00C56554"/>
    <w:rsid w:val="00C6330F"/>
    <w:rsid w:val="00C66BB8"/>
    <w:rsid w:val="00C67444"/>
    <w:rsid w:val="00C70B5E"/>
    <w:rsid w:val="00C76E80"/>
    <w:rsid w:val="00C93273"/>
    <w:rsid w:val="00C934C5"/>
    <w:rsid w:val="00CA6D48"/>
    <w:rsid w:val="00CA6E82"/>
    <w:rsid w:val="00CB39DE"/>
    <w:rsid w:val="00CB7DD2"/>
    <w:rsid w:val="00CE128D"/>
    <w:rsid w:val="00CF4D81"/>
    <w:rsid w:val="00CF7473"/>
    <w:rsid w:val="00D23DE2"/>
    <w:rsid w:val="00D41B42"/>
    <w:rsid w:val="00D513A5"/>
    <w:rsid w:val="00D557FE"/>
    <w:rsid w:val="00D74768"/>
    <w:rsid w:val="00D85E4D"/>
    <w:rsid w:val="00D97936"/>
    <w:rsid w:val="00DA25D5"/>
    <w:rsid w:val="00DB0CDB"/>
    <w:rsid w:val="00DB55A3"/>
    <w:rsid w:val="00DE3CAF"/>
    <w:rsid w:val="00DE4DC0"/>
    <w:rsid w:val="00DF31C9"/>
    <w:rsid w:val="00E11DF7"/>
    <w:rsid w:val="00E30B5E"/>
    <w:rsid w:val="00E3235D"/>
    <w:rsid w:val="00E35667"/>
    <w:rsid w:val="00E35A44"/>
    <w:rsid w:val="00E53611"/>
    <w:rsid w:val="00E5412E"/>
    <w:rsid w:val="00E56788"/>
    <w:rsid w:val="00E7442F"/>
    <w:rsid w:val="00E85096"/>
    <w:rsid w:val="00E910E6"/>
    <w:rsid w:val="00E96E73"/>
    <w:rsid w:val="00EC11AF"/>
    <w:rsid w:val="00EF5331"/>
    <w:rsid w:val="00F1126A"/>
    <w:rsid w:val="00F209F4"/>
    <w:rsid w:val="00F35C23"/>
    <w:rsid w:val="00F44CBF"/>
    <w:rsid w:val="00F60110"/>
    <w:rsid w:val="00F6307D"/>
    <w:rsid w:val="00F77CE0"/>
    <w:rsid w:val="00F90AA6"/>
    <w:rsid w:val="00FA42B9"/>
    <w:rsid w:val="00FC7B62"/>
    <w:rsid w:val="00FD2D44"/>
    <w:rsid w:val="00FD5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49B74"/>
  <w15:docId w15:val="{8C78C55C-1221-460E-8907-9903AE02C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85096"/>
    <w:rPr>
      <w:rFonts w:asciiTheme="minorHAnsi" w:eastAsiaTheme="minorHAnsi" w:hAnsiTheme="minorHAnsi" w:cstheme="minorBidi"/>
      <w:sz w:val="22"/>
      <w:szCs w:val="22"/>
      <w:lang w:val="en-GB"/>
    </w:rPr>
  </w:style>
  <w:style w:type="paragraph" w:styleId="Heading1">
    <w:name w:val="heading 1"/>
    <w:basedOn w:val="Normal"/>
    <w:next w:val="Normal"/>
    <w:link w:val="Heading1Char"/>
    <w:uiPriority w:val="9"/>
    <w:qFormat/>
    <w:rsid w:val="009F75EF"/>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2"/>
      </w:numPr>
      <w:spacing w:before="360" w:line="259" w:lineRule="auto"/>
      <w:ind w:left="576"/>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2"/>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2"/>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2"/>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2"/>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D85E4D"/>
    <w:pPr>
      <w:spacing w:before="360"/>
    </w:pPr>
    <w:rPr>
      <w:rFonts w:asciiTheme="majorHAnsi" w:hAnsiTheme="majorHAnsi" w:cstheme="majorHAnsi"/>
      <w:b/>
      <w:bCs/>
      <w:caps/>
      <w:sz w:val="24"/>
      <w:szCs w:val="24"/>
    </w:rPr>
  </w:style>
  <w:style w:type="paragraph" w:styleId="TOC2">
    <w:name w:val="toc 2"/>
    <w:basedOn w:val="Normal"/>
    <w:next w:val="Normal"/>
    <w:autoRedefine/>
    <w:uiPriority w:val="39"/>
    <w:rsid w:val="00D513A5"/>
    <w:pPr>
      <w:tabs>
        <w:tab w:val="left" w:pos="660"/>
        <w:tab w:val="right" w:pos="8296"/>
      </w:tabs>
      <w:spacing w:before="80"/>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Revision">
    <w:name w:val="Revision"/>
    <w:hidden/>
    <w:uiPriority w:val="99"/>
    <w:semiHidden/>
    <w:rsid w:val="00AD7352"/>
    <w:rPr>
      <w:rFonts w:asciiTheme="minorHAnsi" w:eastAsiaTheme="minorHAnsi" w:hAnsiTheme="minorHAnsi" w:cstheme="minorBidi"/>
      <w:sz w:val="22"/>
      <w:szCs w:val="22"/>
      <w:lang w:val="en-GB"/>
    </w:rPr>
  </w:style>
  <w:style w:type="paragraph" w:styleId="NormalWeb">
    <w:name w:val="Normal (Web)"/>
    <w:basedOn w:val="Normal"/>
    <w:uiPriority w:val="99"/>
    <w:unhideWhenUsed/>
    <w:rsid w:val="00930DD1"/>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63065">
      <w:bodyDiv w:val="1"/>
      <w:marLeft w:val="0"/>
      <w:marRight w:val="0"/>
      <w:marTop w:val="0"/>
      <w:marBottom w:val="0"/>
      <w:divBdr>
        <w:top w:val="none" w:sz="0" w:space="0" w:color="auto"/>
        <w:left w:val="none" w:sz="0" w:space="0" w:color="auto"/>
        <w:bottom w:val="none" w:sz="0" w:space="0" w:color="auto"/>
        <w:right w:val="none" w:sz="0" w:space="0" w:color="auto"/>
      </w:divBdr>
      <w:divsChild>
        <w:div w:id="828638376">
          <w:marLeft w:val="0"/>
          <w:marRight w:val="0"/>
          <w:marTop w:val="0"/>
          <w:marBottom w:val="0"/>
          <w:divBdr>
            <w:top w:val="none" w:sz="0" w:space="0" w:color="auto"/>
            <w:left w:val="none" w:sz="0" w:space="0" w:color="auto"/>
            <w:bottom w:val="none" w:sz="0" w:space="0" w:color="auto"/>
            <w:right w:val="none" w:sz="0" w:space="0" w:color="auto"/>
          </w:divBdr>
        </w:div>
        <w:div w:id="550193895">
          <w:marLeft w:val="0"/>
          <w:marRight w:val="0"/>
          <w:marTop w:val="0"/>
          <w:marBottom w:val="0"/>
          <w:divBdr>
            <w:top w:val="none" w:sz="0" w:space="0" w:color="auto"/>
            <w:left w:val="none" w:sz="0" w:space="0" w:color="auto"/>
            <w:bottom w:val="none" w:sz="0" w:space="0" w:color="auto"/>
            <w:right w:val="none" w:sz="0" w:space="0" w:color="auto"/>
          </w:divBdr>
        </w:div>
        <w:div w:id="720599042">
          <w:marLeft w:val="0"/>
          <w:marRight w:val="0"/>
          <w:marTop w:val="0"/>
          <w:marBottom w:val="0"/>
          <w:divBdr>
            <w:top w:val="none" w:sz="0" w:space="0" w:color="auto"/>
            <w:left w:val="none" w:sz="0" w:space="0" w:color="auto"/>
            <w:bottom w:val="none" w:sz="0" w:space="0" w:color="auto"/>
            <w:right w:val="none" w:sz="0" w:space="0" w:color="auto"/>
          </w:divBdr>
        </w:div>
      </w:divsChild>
    </w:div>
    <w:div w:id="159824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ebe490-efc4-4890-b901-5ee9e8d21d14">
      <Terms xmlns="http://schemas.microsoft.com/office/infopath/2007/PartnerControls"/>
    </lcf76f155ced4ddcb4097134ff3c332f>
    <TaxCatchAll xmlns="9c3070d0-30ae-4bad-bd8e-59dca7e7d0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1D3B1D28E28541B0DD7FE462D8846D" ma:contentTypeVersion="17" ma:contentTypeDescription="Create a new document." ma:contentTypeScope="" ma:versionID="7e5458358c612e61945fabb9588a64bc">
  <xsd:schema xmlns:xsd="http://www.w3.org/2001/XMLSchema" xmlns:xs="http://www.w3.org/2001/XMLSchema" xmlns:p="http://schemas.microsoft.com/office/2006/metadata/properties" xmlns:ns2="e7ebe490-efc4-4890-b901-5ee9e8d21d14" xmlns:ns3="9c3070d0-30ae-4bad-bd8e-59dca7e7d0b8" targetNamespace="http://schemas.microsoft.com/office/2006/metadata/properties" ma:root="true" ma:fieldsID="5504901855311265c75b0099459868c5" ns2:_="" ns3:_="">
    <xsd:import namespace="e7ebe490-efc4-4890-b901-5ee9e8d21d14"/>
    <xsd:import namespace="9c3070d0-30ae-4bad-bd8e-59dca7e7d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ebe490-efc4-4890-b901-5ee9e8d21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c92111c-3c1c-4c2d-adf5-246f4e073510"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070d0-30ae-4bad-bd8e-59dca7e7d0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4982be6-3bcb-49a7-a2d3-b6bb77919d07}" ma:internalName="TaxCatchAll" ma:showField="CatchAllData" ma:web="9c3070d0-30ae-4bad-bd8e-59dca7e7d0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71B993-9D27-8A41-97BF-93511DA964B3}">
  <ds:schemaRefs>
    <ds:schemaRef ds:uri="http://schemas.openxmlformats.org/officeDocument/2006/bibliography"/>
  </ds:schemaRefs>
</ds:datastoreItem>
</file>

<file path=customXml/itemProps2.xml><?xml version="1.0" encoding="utf-8"?>
<ds:datastoreItem xmlns:ds="http://schemas.openxmlformats.org/officeDocument/2006/customXml" ds:itemID="{A6D1CD10-C1BC-4FEC-84B5-4B502E3F4028}">
  <ds:schemaRefs>
    <ds:schemaRef ds:uri="http://schemas.microsoft.com/office/2006/metadata/properties"/>
    <ds:schemaRef ds:uri="http://schemas.microsoft.com/office/infopath/2007/PartnerControls"/>
    <ds:schemaRef ds:uri="e7ebe490-efc4-4890-b901-5ee9e8d21d14"/>
    <ds:schemaRef ds:uri="9c3070d0-30ae-4bad-bd8e-59dca7e7d0b8"/>
  </ds:schemaRefs>
</ds:datastoreItem>
</file>

<file path=customXml/itemProps3.xml><?xml version="1.0" encoding="utf-8"?>
<ds:datastoreItem xmlns:ds="http://schemas.openxmlformats.org/officeDocument/2006/customXml" ds:itemID="{7184965D-80E9-4E96-825E-01D551EBC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ebe490-efc4-4890-b901-5ee9e8d21d14"/>
    <ds:schemaRef ds:uri="9c3070d0-30ae-4bad-bd8e-59dca7e7d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C12172-18E0-49A2-8F3E-AC0AD0225A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338</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2175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 ©</dc:description>
  <cp:lastModifiedBy>TOLLEY, Cate (CLEOBURY MORTIMER SURGERY)</cp:lastModifiedBy>
  <cp:revision>3</cp:revision>
  <cp:lastPrinted>2017-09-20T11:53:00Z</cp:lastPrinted>
  <dcterms:created xsi:type="dcterms:W3CDTF">2025-11-19T10:28:00Z</dcterms:created>
  <dcterms:modified xsi:type="dcterms:W3CDTF">2025-11-19T10:29:00Z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0x010100141D3B1D28E28541B0DD7FE462D8846D</vt:lpwstr>
  </property>
  <property fmtid="{D5CDD505-2E9C-101B-9397-08002B2CF9AE}" pid="3" name="MediaServiceImageTags">
    <vt:lpwstr/>
  </property>
</Properties>
</file>